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B4" w:rsidRPr="00FE0D03" w:rsidRDefault="000215B4" w:rsidP="000215B4">
      <w:pPr>
        <w:jc w:val="center"/>
        <w:rPr>
          <w:rFonts w:ascii="Book Antiqua" w:hAnsi="Book Antiqua"/>
          <w:b/>
          <w:bCs/>
          <w:smallCaps/>
          <w:sz w:val="28"/>
          <w:szCs w:val="28"/>
          <w:lang w:val="fr-FR"/>
        </w:rPr>
      </w:pPr>
      <w:r w:rsidRPr="00FE0D03">
        <w:rPr>
          <w:rFonts w:ascii="Book Antiqua" w:hAnsi="Book Antiqua"/>
          <w:b/>
          <w:bCs/>
          <w:smallCaps/>
          <w:sz w:val="28"/>
          <w:szCs w:val="28"/>
          <w:lang w:val="fr-FR"/>
        </w:rPr>
        <w:t>REPUBLIQUE ISLAMIQUE DE MAURITANIE</w:t>
      </w:r>
    </w:p>
    <w:p w:rsidR="000215B4" w:rsidRPr="00FE0D03" w:rsidRDefault="000215B4" w:rsidP="000215B4">
      <w:pPr>
        <w:jc w:val="center"/>
        <w:rPr>
          <w:rFonts w:ascii="Book Antiqua" w:hAnsi="Book Antiqua"/>
          <w:b/>
          <w:bCs/>
          <w:smallCaps/>
          <w:sz w:val="22"/>
          <w:szCs w:val="22"/>
          <w:lang w:val="fr-FR"/>
        </w:rPr>
      </w:pPr>
      <w:r w:rsidRPr="00FE0D03">
        <w:rPr>
          <w:rFonts w:ascii="Book Antiqua" w:hAnsi="Book Antiqua"/>
          <w:b/>
          <w:bCs/>
          <w:smallCaps/>
          <w:sz w:val="22"/>
          <w:szCs w:val="22"/>
          <w:lang w:val="fr-FR"/>
        </w:rPr>
        <w:t>Honneur – Fraternité – Justice</w:t>
      </w:r>
    </w:p>
    <w:p w:rsidR="000215B4" w:rsidRPr="00FE0D03" w:rsidRDefault="000215B4" w:rsidP="000215B4">
      <w:pPr>
        <w:jc w:val="center"/>
        <w:rPr>
          <w:rFonts w:ascii="Book Antiqua" w:hAnsi="Book Antiqua"/>
          <w:b/>
          <w:bCs/>
          <w:smallCaps/>
          <w:lang w:val="fr-FR"/>
        </w:rPr>
      </w:pPr>
    </w:p>
    <w:p w:rsidR="000215B4" w:rsidRPr="00FE0D03" w:rsidRDefault="000215B4" w:rsidP="000215B4">
      <w:pPr>
        <w:jc w:val="center"/>
        <w:rPr>
          <w:rFonts w:ascii="Book Antiqua" w:hAnsi="Book Antiqua"/>
          <w:b/>
          <w:bCs/>
          <w:smallCaps/>
          <w:lang w:val="fr-FR"/>
        </w:rPr>
      </w:pPr>
      <w:r w:rsidRPr="00FE0D03">
        <w:rPr>
          <w:rFonts w:ascii="Book Antiqua" w:hAnsi="Book Antiqua"/>
          <w:b/>
          <w:bCs/>
          <w:smallCaps/>
          <w:lang w:val="fr-FR"/>
        </w:rPr>
        <w:t>MINISTERE DE L’AGRICULTURE</w:t>
      </w:r>
    </w:p>
    <w:p w:rsidR="000215B4" w:rsidRPr="00FE0D03" w:rsidRDefault="000215B4" w:rsidP="000215B4">
      <w:pPr>
        <w:pStyle w:val="Retraitcorpsdetexte2"/>
        <w:tabs>
          <w:tab w:val="left" w:pos="540"/>
          <w:tab w:val="left" w:pos="900"/>
          <w:tab w:val="left" w:pos="1701"/>
        </w:tabs>
        <w:spacing w:before="120"/>
        <w:ind w:left="0"/>
        <w:jc w:val="center"/>
        <w:rPr>
          <w:rFonts w:ascii="Book Antiqua" w:hAnsi="Book Antiqua"/>
          <w:b/>
          <w:bCs/>
        </w:rPr>
      </w:pPr>
    </w:p>
    <w:p w:rsidR="000215B4" w:rsidRPr="00FE0D03" w:rsidRDefault="000215B4" w:rsidP="000215B4">
      <w:pPr>
        <w:ind w:left="-426"/>
        <w:jc w:val="center"/>
        <w:rPr>
          <w:rFonts w:ascii="Book Antiqua" w:hAnsi="Book Antiqua"/>
          <w:b/>
          <w:bCs/>
          <w:smallCaps/>
          <w:sz w:val="28"/>
          <w:szCs w:val="28"/>
          <w:lang w:val="fr-FR"/>
        </w:rPr>
      </w:pPr>
      <w:r w:rsidRPr="00FE0D03">
        <w:rPr>
          <w:rFonts w:ascii="Book Antiqua" w:hAnsi="Book Antiqua"/>
          <w:b/>
          <w:bCs/>
          <w:smallCaps/>
          <w:sz w:val="28"/>
          <w:szCs w:val="28"/>
          <w:lang w:val="fr-FR"/>
        </w:rPr>
        <w:t>Projet d’Appui Régional A l’Initiative pour l’Irrigation au Sahel (PARIIS)/Mauritanie</w:t>
      </w: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p w:rsidR="000215B4" w:rsidRPr="00FE0D03" w:rsidRDefault="000215B4" w:rsidP="000215B4">
      <w:pPr>
        <w:pStyle w:val="Titre"/>
        <w:spacing w:after="120"/>
        <w:rPr>
          <w:rFonts w:ascii="Book Antiqua" w:hAnsi="Book Antiqua"/>
          <w:b w:val="0"/>
          <w:sz w:val="23"/>
          <w:szCs w:val="23"/>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19"/>
      </w:tblGrid>
      <w:tr w:rsidR="000215B4" w:rsidRPr="000B35E2" w:rsidTr="000215B4">
        <w:trPr>
          <w:trHeight w:val="1288"/>
        </w:trPr>
        <w:tc>
          <w:tcPr>
            <w:tcW w:w="7819" w:type="dxa"/>
            <w:tcBorders>
              <w:top w:val="thickThinSmallGap" w:sz="24" w:space="0" w:color="auto"/>
              <w:left w:val="thickThinSmallGap" w:sz="24" w:space="0" w:color="auto"/>
              <w:bottom w:val="double" w:sz="4" w:space="0" w:color="auto"/>
              <w:right w:val="double" w:sz="4" w:space="0" w:color="auto"/>
            </w:tcBorders>
            <w:shd w:val="clear" w:color="auto" w:fill="C0C0C0"/>
          </w:tcPr>
          <w:p w:rsidR="000215B4" w:rsidRPr="00FE0D03" w:rsidRDefault="000215B4" w:rsidP="00ED53D0">
            <w:pPr>
              <w:spacing w:after="120"/>
              <w:jc w:val="center"/>
              <w:rPr>
                <w:rFonts w:ascii="Book Antiqua" w:hAnsi="Book Antiqua"/>
                <w:b/>
                <w:szCs w:val="23"/>
                <w:lang w:val="fr-FR"/>
              </w:rPr>
            </w:pPr>
          </w:p>
          <w:p w:rsidR="000215B4" w:rsidRPr="000215B4" w:rsidRDefault="000215B4" w:rsidP="000215B4">
            <w:pPr>
              <w:pBdr>
                <w:top w:val="single" w:sz="4" w:space="1" w:color="auto"/>
                <w:left w:val="single" w:sz="4" w:space="4" w:color="auto"/>
                <w:bottom w:val="single" w:sz="4" w:space="1" w:color="auto"/>
                <w:right w:val="single" w:sz="4" w:space="4" w:color="auto"/>
              </w:pBdr>
              <w:jc w:val="center"/>
              <w:rPr>
                <w:rStyle w:val="MachinecrireHTML"/>
                <w:rFonts w:ascii="Book Antiqua" w:hAnsi="Book Antiqua" w:cs="Times New Roman"/>
                <w:b/>
                <w:bCs/>
                <w:sz w:val="24"/>
                <w:szCs w:val="24"/>
                <w:lang w:val="fr-FR"/>
              </w:rPr>
            </w:pPr>
            <w:r w:rsidRPr="000215B4">
              <w:rPr>
                <w:rStyle w:val="MachinecrireHTML"/>
                <w:rFonts w:ascii="Book Antiqua" w:hAnsi="Book Antiqua" w:cs="Times New Roman"/>
                <w:b/>
                <w:bCs/>
                <w:sz w:val="24"/>
                <w:szCs w:val="24"/>
                <w:lang w:val="fr-FR"/>
              </w:rPr>
              <w:t xml:space="preserve">TERMES DE REFERENCE POUR LE RECRUTEMENT D’UN AUDITEUR EXTERNE  DES ETATS FINANCIERS </w:t>
            </w:r>
          </w:p>
          <w:p w:rsidR="00790C5D" w:rsidRDefault="000215B4" w:rsidP="000215B4">
            <w:pPr>
              <w:spacing w:after="120"/>
              <w:jc w:val="center"/>
              <w:rPr>
                <w:rFonts w:ascii="Book Antiqua" w:hAnsi="Book Antiqua"/>
                <w:b/>
                <w:szCs w:val="23"/>
                <w:lang w:val="fr-FR"/>
              </w:rPr>
            </w:pPr>
            <w:r w:rsidRPr="000215B4">
              <w:rPr>
                <w:rStyle w:val="MachinecrireHTML"/>
                <w:rFonts w:ascii="Book Antiqua" w:hAnsi="Book Antiqua" w:cs="Times New Roman"/>
                <w:b/>
                <w:bCs/>
                <w:sz w:val="24"/>
                <w:szCs w:val="24"/>
                <w:lang w:val="fr-FR"/>
              </w:rPr>
              <w:t xml:space="preserve"> DU PROJET REGIONAL D’APPUI </w:t>
            </w:r>
            <w:r w:rsidRPr="000215B4">
              <w:rPr>
                <w:rFonts w:ascii="Book Antiqua" w:hAnsi="Book Antiqua"/>
                <w:b/>
                <w:bCs/>
                <w:smallCaps/>
                <w:sz w:val="28"/>
                <w:szCs w:val="28"/>
                <w:lang w:val="fr-FR"/>
              </w:rPr>
              <w:t xml:space="preserve">A l’Initiative pour l’Irrigation au Sahel </w:t>
            </w:r>
            <w:r w:rsidR="00B00ABF">
              <w:rPr>
                <w:rFonts w:ascii="Book Antiqua" w:hAnsi="Book Antiqua"/>
                <w:b/>
                <w:bCs/>
                <w:smallCaps/>
                <w:sz w:val="28"/>
                <w:szCs w:val="28"/>
                <w:lang w:val="fr-FR"/>
              </w:rPr>
              <w:t>(</w:t>
            </w:r>
            <w:r w:rsidR="00B00ABF" w:rsidRPr="000215B4">
              <w:rPr>
                <w:rFonts w:ascii="Book Antiqua" w:hAnsi="Book Antiqua"/>
                <w:b/>
                <w:szCs w:val="23"/>
                <w:lang w:val="fr-FR"/>
              </w:rPr>
              <w:t>PARIIS</w:t>
            </w:r>
            <w:r w:rsidR="006A721C">
              <w:rPr>
                <w:rFonts w:ascii="Book Antiqua" w:hAnsi="Book Antiqua"/>
                <w:b/>
                <w:szCs w:val="23"/>
                <w:lang w:val="fr-FR"/>
              </w:rPr>
              <w:t>-MR</w:t>
            </w:r>
            <w:r>
              <w:rPr>
                <w:rFonts w:ascii="Book Antiqua" w:hAnsi="Book Antiqua"/>
                <w:b/>
                <w:szCs w:val="23"/>
                <w:lang w:val="fr-FR"/>
              </w:rPr>
              <w:t>)</w:t>
            </w:r>
            <w:r w:rsidR="00912CCB">
              <w:rPr>
                <w:rFonts w:ascii="Book Antiqua" w:hAnsi="Book Antiqua"/>
                <w:b/>
                <w:szCs w:val="23"/>
                <w:lang w:val="fr-FR"/>
              </w:rPr>
              <w:t xml:space="preserve"> POUR </w:t>
            </w:r>
            <w:r w:rsidR="000B35E2">
              <w:rPr>
                <w:rFonts w:ascii="Book Antiqua" w:hAnsi="Book Antiqua"/>
                <w:b/>
                <w:szCs w:val="23"/>
                <w:lang w:val="fr-FR"/>
              </w:rPr>
              <w:t>LES EXERCICES</w:t>
            </w:r>
          </w:p>
          <w:p w:rsidR="000215B4" w:rsidRPr="000215B4" w:rsidRDefault="000B35E2" w:rsidP="000215B4">
            <w:pPr>
              <w:spacing w:after="120"/>
              <w:jc w:val="center"/>
              <w:rPr>
                <w:rFonts w:ascii="Book Antiqua" w:hAnsi="Book Antiqua"/>
                <w:b/>
                <w:szCs w:val="23"/>
                <w:lang w:val="fr-FR"/>
              </w:rPr>
            </w:pPr>
            <w:r>
              <w:rPr>
                <w:rFonts w:ascii="Book Antiqua" w:hAnsi="Book Antiqua"/>
                <w:b/>
                <w:szCs w:val="23"/>
                <w:lang w:val="fr-FR"/>
              </w:rPr>
              <w:t xml:space="preserve"> 2021, 2022 ET 2023</w:t>
            </w:r>
          </w:p>
          <w:p w:rsidR="000215B4" w:rsidRPr="00FE0D03" w:rsidRDefault="000215B4" w:rsidP="00ED53D0">
            <w:pPr>
              <w:pStyle w:val="Titre"/>
              <w:spacing w:after="120"/>
              <w:rPr>
                <w:rFonts w:ascii="Book Antiqua" w:hAnsi="Book Antiqua"/>
                <w:sz w:val="23"/>
                <w:szCs w:val="23"/>
              </w:rPr>
            </w:pPr>
          </w:p>
        </w:tc>
      </w:tr>
    </w:tbl>
    <w:p w:rsidR="000215B4" w:rsidRPr="00FE0D03" w:rsidRDefault="000215B4" w:rsidP="000215B4">
      <w:pPr>
        <w:pStyle w:val="Titre"/>
        <w:spacing w:after="120"/>
        <w:rPr>
          <w:rFonts w:ascii="Book Antiqua" w:hAnsi="Book Antiqua"/>
          <w:sz w:val="23"/>
          <w:szCs w:val="23"/>
        </w:rPr>
      </w:pPr>
    </w:p>
    <w:p w:rsidR="000215B4" w:rsidRPr="00FE0D03" w:rsidRDefault="000215B4" w:rsidP="000215B4">
      <w:pPr>
        <w:pStyle w:val="Titre"/>
        <w:spacing w:after="120"/>
        <w:ind w:hanging="2692"/>
        <w:jc w:val="left"/>
        <w:rPr>
          <w:rFonts w:ascii="Book Antiqua" w:hAnsi="Book Antiqua"/>
          <w:b w:val="0"/>
          <w:sz w:val="23"/>
          <w:szCs w:val="23"/>
        </w:rPr>
      </w:pPr>
    </w:p>
    <w:p w:rsidR="000215B4" w:rsidRPr="00FE0D03" w:rsidRDefault="000215B4" w:rsidP="000215B4">
      <w:pPr>
        <w:pStyle w:val="Titre"/>
        <w:spacing w:after="120"/>
        <w:ind w:hanging="2692"/>
        <w:jc w:val="left"/>
        <w:rPr>
          <w:rFonts w:ascii="Book Antiqua" w:hAnsi="Book Antiqua"/>
          <w:b w:val="0"/>
          <w:sz w:val="23"/>
          <w:szCs w:val="23"/>
        </w:rPr>
      </w:pPr>
    </w:p>
    <w:p w:rsidR="000215B4" w:rsidRPr="00FE0D03" w:rsidRDefault="000215B4" w:rsidP="000215B4">
      <w:pPr>
        <w:pStyle w:val="Titre"/>
        <w:spacing w:after="120"/>
        <w:ind w:hanging="2692"/>
        <w:jc w:val="left"/>
        <w:rPr>
          <w:rFonts w:ascii="Book Antiqua" w:hAnsi="Book Antiqua"/>
          <w:b w:val="0"/>
          <w:sz w:val="23"/>
          <w:szCs w:val="23"/>
        </w:rPr>
      </w:pPr>
    </w:p>
    <w:p w:rsidR="000215B4" w:rsidRPr="000B35E2" w:rsidRDefault="00912CCB" w:rsidP="000215B4">
      <w:pPr>
        <w:pStyle w:val="Titre"/>
        <w:tabs>
          <w:tab w:val="center" w:pos="4536"/>
          <w:tab w:val="left" w:pos="7498"/>
        </w:tabs>
        <w:spacing w:after="120"/>
        <w:jc w:val="left"/>
        <w:rPr>
          <w:rFonts w:ascii="Book Antiqua" w:hAnsi="Book Antiqua"/>
          <w:b w:val="0"/>
          <w:sz w:val="23"/>
          <w:szCs w:val="23"/>
          <w:u w:val="none"/>
        </w:rPr>
      </w:pPr>
      <w:r w:rsidRPr="000B35E2">
        <w:rPr>
          <w:rFonts w:ascii="Book Antiqua" w:hAnsi="Book Antiqua"/>
          <w:bCs/>
          <w:sz w:val="23"/>
          <w:szCs w:val="23"/>
          <w:u w:val="none"/>
        </w:rPr>
        <w:t>FINANCEMENT</w:t>
      </w:r>
      <w:r w:rsidRPr="000B35E2">
        <w:rPr>
          <w:rFonts w:ascii="Book Antiqua" w:hAnsi="Book Antiqua"/>
          <w:b w:val="0"/>
          <w:sz w:val="23"/>
          <w:szCs w:val="23"/>
          <w:u w:val="none"/>
        </w:rPr>
        <w:t> : DON IDA N° 252</w:t>
      </w:r>
    </w:p>
    <w:p w:rsidR="000215B4" w:rsidRPr="00FE0D03" w:rsidRDefault="000215B4" w:rsidP="000215B4">
      <w:pPr>
        <w:pStyle w:val="Titre"/>
        <w:tabs>
          <w:tab w:val="center" w:pos="4536"/>
          <w:tab w:val="left" w:pos="7498"/>
        </w:tabs>
        <w:spacing w:after="120"/>
        <w:jc w:val="left"/>
        <w:rPr>
          <w:rFonts w:ascii="Book Antiqua" w:hAnsi="Book Antiqua"/>
          <w:b w:val="0"/>
          <w:sz w:val="23"/>
          <w:szCs w:val="23"/>
        </w:rPr>
      </w:pPr>
    </w:p>
    <w:p w:rsidR="000215B4" w:rsidRPr="00FE0D03" w:rsidRDefault="000215B4" w:rsidP="000215B4">
      <w:pPr>
        <w:pStyle w:val="Titre"/>
        <w:tabs>
          <w:tab w:val="center" w:pos="4536"/>
          <w:tab w:val="left" w:pos="7498"/>
        </w:tabs>
        <w:spacing w:after="120"/>
        <w:jc w:val="left"/>
        <w:rPr>
          <w:rFonts w:ascii="Book Antiqua" w:hAnsi="Book Antiqua"/>
          <w:sz w:val="23"/>
          <w:szCs w:val="23"/>
        </w:rPr>
      </w:pPr>
    </w:p>
    <w:p w:rsidR="000215B4" w:rsidRPr="00FE0D03" w:rsidRDefault="00912CCB" w:rsidP="00912CCB">
      <w:pPr>
        <w:pStyle w:val="Titre"/>
        <w:spacing w:after="120"/>
        <w:jc w:val="right"/>
        <w:rPr>
          <w:rFonts w:ascii="Book Antiqua" w:hAnsi="Book Antiqua"/>
          <w:sz w:val="23"/>
          <w:szCs w:val="23"/>
          <w:u w:val="none"/>
        </w:rPr>
      </w:pPr>
      <w:r>
        <w:rPr>
          <w:rFonts w:ascii="Book Antiqua" w:hAnsi="Book Antiqua"/>
          <w:sz w:val="23"/>
          <w:szCs w:val="23"/>
          <w:u w:val="none"/>
        </w:rPr>
        <w:t>Septembre 2021</w:t>
      </w:r>
    </w:p>
    <w:p w:rsidR="000215B4" w:rsidRPr="00FE0D03" w:rsidRDefault="000215B4" w:rsidP="000215B4">
      <w:pPr>
        <w:pStyle w:val="Titre"/>
        <w:spacing w:after="120"/>
        <w:jc w:val="right"/>
        <w:rPr>
          <w:rFonts w:ascii="Book Antiqua" w:hAnsi="Book Antiqua"/>
          <w:sz w:val="23"/>
          <w:szCs w:val="23"/>
          <w:u w:val="none"/>
        </w:rPr>
      </w:pPr>
    </w:p>
    <w:p w:rsidR="000215B4" w:rsidRPr="00FE0D03" w:rsidRDefault="000215B4" w:rsidP="000215B4">
      <w:pPr>
        <w:pStyle w:val="Titre"/>
        <w:spacing w:after="120"/>
        <w:jc w:val="right"/>
        <w:rPr>
          <w:rFonts w:ascii="Book Antiqua" w:hAnsi="Book Antiqua"/>
          <w:sz w:val="23"/>
          <w:szCs w:val="23"/>
          <w:u w:val="none"/>
        </w:rPr>
      </w:pPr>
    </w:p>
    <w:p w:rsidR="000215B4" w:rsidRPr="005629B3" w:rsidRDefault="000215B4" w:rsidP="000215B4">
      <w:pPr>
        <w:spacing w:after="120"/>
        <w:jc w:val="center"/>
        <w:rPr>
          <w:rFonts w:ascii="11" w:hAnsi="11"/>
          <w:b/>
          <w:szCs w:val="23"/>
          <w:lang w:val="fr-FR"/>
        </w:rPr>
      </w:pPr>
    </w:p>
    <w:p w:rsidR="000215B4" w:rsidRPr="005629B3" w:rsidRDefault="000215B4" w:rsidP="000215B4">
      <w:pPr>
        <w:spacing w:after="120"/>
        <w:jc w:val="center"/>
        <w:rPr>
          <w:rFonts w:ascii="Book Antiqua" w:hAnsi="Book Antiqua"/>
          <w:b/>
          <w:sz w:val="22"/>
          <w:szCs w:val="22"/>
          <w:lang w:val="fr-FR"/>
        </w:rPr>
      </w:pPr>
      <w:r w:rsidRPr="005629B3">
        <w:rPr>
          <w:rFonts w:ascii="Book Antiqua" w:hAnsi="Book Antiqua"/>
          <w:b/>
          <w:sz w:val="22"/>
          <w:szCs w:val="22"/>
          <w:lang w:val="fr-FR"/>
        </w:rPr>
        <w:t>TERMES DE REFERENCE</w:t>
      </w:r>
    </w:p>
    <w:p w:rsidR="000215B4" w:rsidRPr="005629B3" w:rsidRDefault="000215B4" w:rsidP="000215B4">
      <w:pPr>
        <w:spacing w:after="120"/>
        <w:jc w:val="center"/>
        <w:rPr>
          <w:rFonts w:ascii="Book Antiqua" w:hAnsi="Book Antiqua"/>
          <w:b/>
          <w:sz w:val="22"/>
          <w:szCs w:val="22"/>
          <w:lang w:val="fr-FR"/>
        </w:rPr>
      </w:pPr>
    </w:p>
    <w:p w:rsidR="000215B4" w:rsidRPr="005629B3" w:rsidRDefault="00B00ABF" w:rsidP="000215B4">
      <w:pPr>
        <w:spacing w:after="120"/>
        <w:jc w:val="center"/>
        <w:rPr>
          <w:rFonts w:ascii="Book Antiqua" w:hAnsi="Book Antiqua"/>
          <w:sz w:val="22"/>
          <w:szCs w:val="22"/>
          <w:lang w:val="fr-FR"/>
        </w:rPr>
      </w:pPr>
      <w:r w:rsidRPr="005629B3">
        <w:rPr>
          <w:rFonts w:ascii="Book Antiqua" w:hAnsi="Book Antiqua"/>
          <w:sz w:val="22"/>
          <w:szCs w:val="22"/>
          <w:lang w:val="fr-FR"/>
        </w:rPr>
        <w:t>P</w:t>
      </w:r>
      <w:r w:rsidR="000215B4" w:rsidRPr="005629B3">
        <w:rPr>
          <w:rFonts w:ascii="Book Antiqua" w:hAnsi="Book Antiqua"/>
          <w:sz w:val="22"/>
          <w:szCs w:val="22"/>
          <w:lang w:val="fr-FR"/>
        </w:rPr>
        <w:t xml:space="preserve">our le recrutement d’un auditeur externe  des états financiers </w:t>
      </w:r>
    </w:p>
    <w:p w:rsidR="000215B4" w:rsidRPr="005629B3" w:rsidRDefault="000215B4" w:rsidP="000215B4">
      <w:pPr>
        <w:spacing w:after="120"/>
        <w:jc w:val="center"/>
        <w:rPr>
          <w:rFonts w:ascii="Book Antiqua" w:hAnsi="Book Antiqua"/>
          <w:sz w:val="22"/>
          <w:szCs w:val="22"/>
          <w:lang w:val="fr-FR"/>
        </w:rPr>
      </w:pPr>
    </w:p>
    <w:p w:rsidR="000215B4" w:rsidRPr="00093B7A" w:rsidRDefault="000215B4" w:rsidP="00093B7A">
      <w:pPr>
        <w:pStyle w:val="Titre"/>
        <w:numPr>
          <w:ilvl w:val="0"/>
          <w:numId w:val="1"/>
        </w:numPr>
        <w:spacing w:after="240"/>
        <w:ind w:left="0" w:hanging="426"/>
        <w:jc w:val="left"/>
        <w:rPr>
          <w:rFonts w:ascii="Book Antiqua" w:hAnsi="Book Antiqua"/>
          <w:sz w:val="22"/>
          <w:szCs w:val="22"/>
          <w:u w:val="none"/>
        </w:rPr>
      </w:pPr>
      <w:r w:rsidRPr="005629B3">
        <w:rPr>
          <w:rFonts w:ascii="Book Antiqua" w:hAnsi="Book Antiqua"/>
          <w:sz w:val="22"/>
          <w:szCs w:val="22"/>
          <w:u w:val="none"/>
        </w:rPr>
        <w:t>Contexte et justification :</w:t>
      </w:r>
    </w:p>
    <w:p w:rsidR="00093B7A" w:rsidRPr="005629B3" w:rsidRDefault="000215B4" w:rsidP="00C51180">
      <w:pPr>
        <w:spacing w:after="240"/>
        <w:rPr>
          <w:rFonts w:ascii="Book Antiqua" w:hAnsi="Book Antiqua"/>
          <w:sz w:val="22"/>
          <w:szCs w:val="22"/>
          <w:lang w:val="fr-FR"/>
        </w:rPr>
      </w:pPr>
      <w:r w:rsidRPr="005629B3">
        <w:rPr>
          <w:rFonts w:ascii="Book Antiqua" w:hAnsi="Book Antiqua"/>
          <w:sz w:val="22"/>
          <w:szCs w:val="22"/>
          <w:lang w:val="fr-FR"/>
        </w:rPr>
        <w:t xml:space="preserve">Dans le cadre de la mise en œuvre du Plan national pour le développement de l'agriculture (PNDA) 2016-2025, le Gouvernement mauritanien a bénéficié d'un </w:t>
      </w:r>
      <w:r w:rsidR="00C51180">
        <w:rPr>
          <w:rFonts w:ascii="Book Antiqua" w:hAnsi="Book Antiqua"/>
          <w:sz w:val="22"/>
          <w:szCs w:val="22"/>
          <w:lang w:val="fr-FR"/>
        </w:rPr>
        <w:t xml:space="preserve">Don </w:t>
      </w:r>
      <w:r w:rsidRPr="005629B3">
        <w:rPr>
          <w:rFonts w:ascii="Book Antiqua" w:hAnsi="Book Antiqua"/>
          <w:sz w:val="22"/>
          <w:szCs w:val="22"/>
          <w:lang w:val="fr-FR"/>
        </w:rPr>
        <w:t>de l'IDA pour le financement du Projet d’Appui Régional à l’Initiative pour l’Irrigation au Sahel (PARIIS). Ce projet vise à améliorer la capacité  de planification, d' investissement et de gestion  des parties prenantes  pour la performance des systèmes d'irrigation et  l'augmentation des superficies irriguées dans les pays du Sahel. Il vient répondre à une préoccupation de plus en plus récurrente des pouvoirs publics au niveau des Etats du Sahel et qui est relative à l'insécurité alimentaire des populations et à leur faible résilience aux chocs consécutifs aux changements climatiques. Dans ce cadre, les dirigeants des pays du Sahel ont adopté en 2013 la déclaration de Dakar qui a retenu le slogan « Forger la résilience et accélérer la croissance au Sahel et en Afrique de l’Ouest par la relance de l’agriculture irriguée »à travers l'augmentation des investissements en matière d’hydraulique agricole et la combinaison des efforts pour l'accroissement du rythme et de la qualité des investissements dans l’agriculture irriguée sur la base d'une approche participative et systémique de résolution des problèmes et de développement de solutions adaptées.</w:t>
      </w:r>
    </w:p>
    <w:p w:rsidR="00E7359B" w:rsidRPr="00912CCB" w:rsidRDefault="000215B4" w:rsidP="00093B7A">
      <w:pPr>
        <w:tabs>
          <w:tab w:val="left" w:pos="360"/>
        </w:tabs>
        <w:spacing w:after="240"/>
        <w:rPr>
          <w:sz w:val="24"/>
          <w:szCs w:val="24"/>
          <w:lang w:val="fr-FR"/>
        </w:rPr>
      </w:pPr>
      <w:r w:rsidRPr="005629B3">
        <w:rPr>
          <w:rFonts w:ascii="Book Antiqua" w:hAnsi="Book Antiqua"/>
          <w:sz w:val="22"/>
          <w:szCs w:val="22"/>
          <w:lang w:val="fr-FR"/>
        </w:rPr>
        <w:t>Pour la mise en œuvre du projet au niveau national, le Ministère de l'Agriculture a mis en place une unité de coordination structurée autour de trois composantes (1) Renforcement institutionnel, (2) Financement des solutions d’irrigation, (3) Gestion des connaissances et Coordination.</w:t>
      </w:r>
      <w:r w:rsidR="00912CCB" w:rsidRPr="00912CCB">
        <w:rPr>
          <w:sz w:val="24"/>
          <w:szCs w:val="24"/>
          <w:lang w:val="fr-FR"/>
        </w:rPr>
        <w:t>La zone d</w:t>
      </w:r>
      <w:r w:rsidR="00912CCB">
        <w:rPr>
          <w:sz w:val="24"/>
          <w:szCs w:val="24"/>
          <w:lang w:val="fr-FR"/>
        </w:rPr>
        <w:t>’intervention du PARIIS</w:t>
      </w:r>
      <w:r w:rsidR="00912CCB" w:rsidRPr="00912CCB">
        <w:rPr>
          <w:sz w:val="24"/>
          <w:szCs w:val="24"/>
          <w:lang w:val="fr-FR"/>
        </w:rPr>
        <w:t xml:space="preserve"> couvre (0</w:t>
      </w:r>
      <w:r w:rsidR="00912CCB">
        <w:rPr>
          <w:sz w:val="24"/>
          <w:szCs w:val="24"/>
          <w:lang w:val="fr-FR"/>
        </w:rPr>
        <w:t>9</w:t>
      </w:r>
      <w:r w:rsidR="00912CCB" w:rsidRPr="00912CCB">
        <w:rPr>
          <w:sz w:val="24"/>
          <w:szCs w:val="24"/>
          <w:lang w:val="fr-FR"/>
        </w:rPr>
        <w:t xml:space="preserve">) régions, à </w:t>
      </w:r>
      <w:r w:rsidR="00912CCB">
        <w:rPr>
          <w:sz w:val="24"/>
          <w:szCs w:val="24"/>
          <w:lang w:val="fr-FR"/>
        </w:rPr>
        <w:t xml:space="preserve">savoir Trarza, </w:t>
      </w:r>
      <w:proofErr w:type="spellStart"/>
      <w:r w:rsidR="00E7359B">
        <w:rPr>
          <w:sz w:val="24"/>
          <w:szCs w:val="24"/>
          <w:lang w:val="fr-FR"/>
        </w:rPr>
        <w:t>Brakna</w:t>
      </w:r>
      <w:proofErr w:type="spellEnd"/>
      <w:r w:rsidR="00E7359B">
        <w:rPr>
          <w:sz w:val="24"/>
          <w:szCs w:val="24"/>
          <w:lang w:val="fr-FR"/>
        </w:rPr>
        <w:t xml:space="preserve">, </w:t>
      </w:r>
      <w:proofErr w:type="spellStart"/>
      <w:r w:rsidR="00E7359B">
        <w:rPr>
          <w:sz w:val="24"/>
          <w:szCs w:val="24"/>
          <w:lang w:val="fr-FR"/>
        </w:rPr>
        <w:t>Gorgol</w:t>
      </w:r>
      <w:proofErr w:type="spellEnd"/>
      <w:r w:rsidR="00E7359B">
        <w:rPr>
          <w:sz w:val="24"/>
          <w:szCs w:val="24"/>
          <w:lang w:val="fr-FR"/>
        </w:rPr>
        <w:t xml:space="preserve">, </w:t>
      </w:r>
      <w:proofErr w:type="spellStart"/>
      <w:r w:rsidR="00E7359B">
        <w:rPr>
          <w:sz w:val="24"/>
          <w:szCs w:val="24"/>
          <w:lang w:val="fr-FR"/>
        </w:rPr>
        <w:t>Guidimagha</w:t>
      </w:r>
      <w:proofErr w:type="spellEnd"/>
      <w:r w:rsidR="00E7359B">
        <w:rPr>
          <w:sz w:val="24"/>
          <w:szCs w:val="24"/>
          <w:lang w:val="fr-FR"/>
        </w:rPr>
        <w:t xml:space="preserve">, </w:t>
      </w:r>
      <w:proofErr w:type="spellStart"/>
      <w:r w:rsidR="00E7359B">
        <w:rPr>
          <w:sz w:val="24"/>
          <w:szCs w:val="24"/>
          <w:lang w:val="fr-FR"/>
        </w:rPr>
        <w:t>Assaba</w:t>
      </w:r>
      <w:proofErr w:type="spellEnd"/>
      <w:r w:rsidR="00E7359B">
        <w:rPr>
          <w:sz w:val="24"/>
          <w:szCs w:val="24"/>
          <w:lang w:val="fr-FR"/>
        </w:rPr>
        <w:t xml:space="preserve">, </w:t>
      </w:r>
      <w:proofErr w:type="spellStart"/>
      <w:r w:rsidR="00E7359B">
        <w:rPr>
          <w:sz w:val="24"/>
          <w:szCs w:val="24"/>
          <w:lang w:val="fr-FR"/>
        </w:rPr>
        <w:t>HodhElgharbi</w:t>
      </w:r>
      <w:proofErr w:type="spellEnd"/>
      <w:r w:rsidR="00E7359B">
        <w:rPr>
          <w:sz w:val="24"/>
          <w:szCs w:val="24"/>
          <w:lang w:val="fr-FR"/>
        </w:rPr>
        <w:t xml:space="preserve">, </w:t>
      </w:r>
      <w:proofErr w:type="spellStart"/>
      <w:r w:rsidR="00E7359B">
        <w:rPr>
          <w:sz w:val="24"/>
          <w:szCs w:val="24"/>
          <w:lang w:val="fr-FR"/>
        </w:rPr>
        <w:t>HodhEcahrgui</w:t>
      </w:r>
      <w:proofErr w:type="spellEnd"/>
      <w:r w:rsidR="00E7359B">
        <w:rPr>
          <w:sz w:val="24"/>
          <w:szCs w:val="24"/>
          <w:lang w:val="fr-FR"/>
        </w:rPr>
        <w:t xml:space="preserve">, </w:t>
      </w:r>
      <w:proofErr w:type="spellStart"/>
      <w:r w:rsidR="00E7359B">
        <w:rPr>
          <w:sz w:val="24"/>
          <w:szCs w:val="24"/>
          <w:lang w:val="fr-FR"/>
        </w:rPr>
        <w:t>Tagant</w:t>
      </w:r>
      <w:proofErr w:type="spellEnd"/>
      <w:r w:rsidR="00E7359B">
        <w:rPr>
          <w:sz w:val="24"/>
          <w:szCs w:val="24"/>
          <w:lang w:val="fr-FR"/>
        </w:rPr>
        <w:t xml:space="preserve"> et Adrar</w:t>
      </w:r>
      <w:r w:rsidR="00912CCB" w:rsidRPr="00912CCB">
        <w:rPr>
          <w:sz w:val="24"/>
          <w:szCs w:val="24"/>
          <w:lang w:val="fr-FR"/>
        </w:rPr>
        <w:t>.</w:t>
      </w:r>
      <w:r w:rsidR="00E7359B">
        <w:rPr>
          <w:sz w:val="24"/>
          <w:szCs w:val="24"/>
          <w:lang w:val="fr-FR"/>
        </w:rPr>
        <w:t xml:space="preserve"> Le PARIIS-MR</w:t>
      </w:r>
      <w:r w:rsidR="00912CCB" w:rsidRPr="00912CCB">
        <w:rPr>
          <w:sz w:val="24"/>
          <w:szCs w:val="24"/>
          <w:lang w:val="fr-FR"/>
        </w:rPr>
        <w:t xml:space="preserve"> est prévu pour une durée de six (6) ans.  </w:t>
      </w:r>
    </w:p>
    <w:p w:rsidR="00D04987" w:rsidRPr="005629B3" w:rsidRDefault="000215B4" w:rsidP="00093B7A">
      <w:pPr>
        <w:spacing w:after="240"/>
        <w:rPr>
          <w:rFonts w:ascii="Book Antiqua" w:hAnsi="Book Antiqua"/>
          <w:sz w:val="22"/>
          <w:szCs w:val="22"/>
          <w:lang w:val="fr-FR"/>
        </w:rPr>
      </w:pPr>
      <w:r w:rsidRPr="005629B3">
        <w:rPr>
          <w:rFonts w:ascii="Book Antiqua" w:hAnsi="Book Antiqua"/>
          <w:sz w:val="22"/>
          <w:szCs w:val="22"/>
          <w:lang w:val="fr-FR"/>
        </w:rPr>
        <w:t xml:space="preserve">Dans ce cadre, </w:t>
      </w:r>
      <w:r w:rsidR="00B00ABF" w:rsidRPr="005629B3">
        <w:rPr>
          <w:rFonts w:ascii="Book Antiqua" w:hAnsi="Book Antiqua"/>
          <w:sz w:val="22"/>
          <w:szCs w:val="22"/>
          <w:lang w:val="fr-FR"/>
        </w:rPr>
        <w:t>l’UCP-PARIIS envisage</w:t>
      </w:r>
      <w:r w:rsidRPr="005629B3">
        <w:rPr>
          <w:rFonts w:ascii="Book Antiqua" w:hAnsi="Book Antiqua"/>
          <w:sz w:val="22"/>
          <w:szCs w:val="22"/>
          <w:lang w:val="fr-FR"/>
        </w:rPr>
        <w:t xml:space="preserve"> le recrutement d’un auditeur externe  des états financiers du Projet. </w:t>
      </w:r>
    </w:p>
    <w:p w:rsidR="000215B4" w:rsidRPr="005629B3" w:rsidRDefault="000215B4" w:rsidP="00093B7A">
      <w:pPr>
        <w:spacing w:after="240"/>
        <w:rPr>
          <w:rFonts w:ascii="Book Antiqua" w:hAnsi="Book Antiqua"/>
          <w:sz w:val="22"/>
          <w:szCs w:val="22"/>
          <w:lang w:val="fr-FR"/>
        </w:rPr>
      </w:pPr>
      <w:r w:rsidRPr="005629B3">
        <w:rPr>
          <w:rFonts w:ascii="Book Antiqua" w:hAnsi="Book Antiqua"/>
          <w:sz w:val="22"/>
          <w:szCs w:val="22"/>
          <w:lang w:val="fr-FR"/>
        </w:rPr>
        <w:t>L’audit des états financiers  du projet P</w:t>
      </w:r>
      <w:r w:rsidR="00053E41" w:rsidRPr="00053E41">
        <w:rPr>
          <w:rFonts w:ascii="Book Antiqua" w:hAnsi="Book Antiqua"/>
          <w:sz w:val="22"/>
          <w:szCs w:val="22"/>
          <w:lang w:val="fr-FR"/>
        </w:rPr>
        <w:t>ARIIS</w:t>
      </w:r>
      <w:r w:rsidRPr="005629B3">
        <w:rPr>
          <w:rFonts w:ascii="Book Antiqua" w:hAnsi="Book Antiqua"/>
          <w:sz w:val="22"/>
          <w:szCs w:val="22"/>
          <w:lang w:val="fr-FR"/>
        </w:rPr>
        <w:t xml:space="preserve"> doit permettre à l’auditeur d’exprimer une opinion professionnelle sur la situation financière du Projet pour les exercices 20</w:t>
      </w:r>
      <w:r w:rsidR="00912CCB">
        <w:rPr>
          <w:rFonts w:ascii="Book Antiqua" w:hAnsi="Book Antiqua"/>
          <w:sz w:val="22"/>
          <w:szCs w:val="22"/>
          <w:lang w:val="fr-FR"/>
        </w:rPr>
        <w:t>21</w:t>
      </w:r>
      <w:r w:rsidRPr="005629B3">
        <w:rPr>
          <w:rFonts w:ascii="Book Antiqua" w:hAnsi="Book Antiqua"/>
          <w:sz w:val="22"/>
          <w:szCs w:val="22"/>
          <w:lang w:val="fr-FR"/>
        </w:rPr>
        <w:t>, 20</w:t>
      </w:r>
      <w:r w:rsidR="00912CCB">
        <w:rPr>
          <w:rFonts w:ascii="Book Antiqua" w:hAnsi="Book Antiqua"/>
          <w:sz w:val="22"/>
          <w:szCs w:val="22"/>
          <w:lang w:val="fr-FR"/>
        </w:rPr>
        <w:t>22</w:t>
      </w:r>
      <w:r w:rsidRPr="005629B3">
        <w:rPr>
          <w:rFonts w:ascii="Book Antiqua" w:hAnsi="Book Antiqua"/>
          <w:sz w:val="22"/>
          <w:szCs w:val="22"/>
          <w:lang w:val="fr-FR"/>
        </w:rPr>
        <w:t xml:space="preserve"> et 20</w:t>
      </w:r>
      <w:r w:rsidR="00912CCB">
        <w:rPr>
          <w:rFonts w:ascii="Book Antiqua" w:hAnsi="Book Antiqua"/>
          <w:sz w:val="22"/>
          <w:szCs w:val="22"/>
          <w:lang w:val="fr-FR"/>
        </w:rPr>
        <w:t>23</w:t>
      </w:r>
      <w:r w:rsidRPr="005629B3">
        <w:rPr>
          <w:rFonts w:ascii="Book Antiqua" w:hAnsi="Book Antiqua"/>
          <w:sz w:val="22"/>
          <w:szCs w:val="22"/>
          <w:lang w:val="fr-FR"/>
        </w:rPr>
        <w:t xml:space="preserve">. </w:t>
      </w:r>
    </w:p>
    <w:p w:rsidR="000215B4" w:rsidRPr="005629B3" w:rsidRDefault="000215B4" w:rsidP="00093B7A">
      <w:pPr>
        <w:autoSpaceDE w:val="0"/>
        <w:autoSpaceDN w:val="0"/>
        <w:adjustRightInd w:val="0"/>
        <w:spacing w:after="240"/>
        <w:rPr>
          <w:rFonts w:ascii="Book Antiqua" w:hAnsi="Book Antiqua"/>
          <w:sz w:val="22"/>
          <w:szCs w:val="22"/>
          <w:lang w:val="fr-FR"/>
        </w:rPr>
      </w:pPr>
      <w:r w:rsidRPr="005629B3">
        <w:rPr>
          <w:rFonts w:ascii="Book Antiqua" w:hAnsi="Book Antiqua"/>
          <w:sz w:val="22"/>
          <w:szCs w:val="22"/>
          <w:lang w:val="fr-FR"/>
        </w:rPr>
        <w:t xml:space="preserve"> L’auditeur exprimera également une opinion professionnelle sur les états financiers, les états certifiés de dépenses et le compte spécial pour les fonds reçus et les dépenses effectuées au cours de cette période du projet.</w:t>
      </w:r>
    </w:p>
    <w:p w:rsidR="000215B4" w:rsidRPr="005629B3" w:rsidRDefault="000215B4" w:rsidP="00093B7A">
      <w:pPr>
        <w:spacing w:after="240"/>
        <w:rPr>
          <w:rFonts w:ascii="Book Antiqua" w:hAnsi="Book Antiqua"/>
          <w:sz w:val="22"/>
          <w:szCs w:val="22"/>
          <w:lang w:val="fr-FR"/>
        </w:rPr>
      </w:pPr>
      <w:r w:rsidRPr="005629B3">
        <w:rPr>
          <w:rFonts w:ascii="Book Antiqua" w:hAnsi="Book Antiqua"/>
          <w:sz w:val="22"/>
          <w:szCs w:val="22"/>
          <w:lang w:val="fr-FR"/>
        </w:rPr>
        <w:t>En outre, l’auditeur devra s’assurer que les ressources mises à la disposition du Projet sont utilisées aux fins pour lesquelles elles ont été octroyées, en vue de l’atteinte de l’objectif de développement du Projet.</w:t>
      </w:r>
    </w:p>
    <w:p w:rsidR="00405A9F" w:rsidRPr="005629B3" w:rsidRDefault="000215B4" w:rsidP="00093B7A">
      <w:pPr>
        <w:spacing w:after="240"/>
        <w:rPr>
          <w:rFonts w:ascii="Book Antiqua" w:hAnsi="Book Antiqua"/>
          <w:sz w:val="22"/>
          <w:szCs w:val="22"/>
          <w:lang w:val="fr-FR"/>
        </w:rPr>
      </w:pPr>
      <w:r w:rsidRPr="005629B3">
        <w:rPr>
          <w:rFonts w:ascii="Book Antiqua" w:hAnsi="Book Antiqua"/>
          <w:sz w:val="22"/>
          <w:szCs w:val="22"/>
          <w:lang w:val="fr-FR"/>
        </w:rPr>
        <w:t>Les états financiers, tenus par l’Unité de Coordination du P</w:t>
      </w:r>
      <w:r w:rsidR="00053E41" w:rsidRPr="00053E41">
        <w:rPr>
          <w:rFonts w:ascii="Book Antiqua" w:hAnsi="Book Antiqua"/>
          <w:sz w:val="22"/>
          <w:szCs w:val="22"/>
          <w:lang w:val="fr-FR"/>
        </w:rPr>
        <w:t>ARIIS</w:t>
      </w:r>
      <w:r w:rsidRPr="005629B3">
        <w:rPr>
          <w:rFonts w:ascii="Book Antiqua" w:hAnsi="Book Antiqua"/>
          <w:sz w:val="22"/>
          <w:szCs w:val="22"/>
          <w:lang w:val="fr-FR"/>
        </w:rPr>
        <w:t>, sont établis de manière à rendre compte des transactions financières relatives au projet.</w:t>
      </w:r>
    </w:p>
    <w:p w:rsidR="000215B4" w:rsidRPr="00405A9F" w:rsidRDefault="000215B4" w:rsidP="00405A9F">
      <w:pPr>
        <w:pStyle w:val="Titre"/>
        <w:numPr>
          <w:ilvl w:val="0"/>
          <w:numId w:val="1"/>
        </w:numPr>
        <w:spacing w:after="120"/>
        <w:ind w:left="0" w:hanging="426"/>
        <w:jc w:val="left"/>
        <w:rPr>
          <w:rFonts w:ascii="Book Antiqua" w:hAnsi="Book Antiqua"/>
          <w:sz w:val="22"/>
          <w:szCs w:val="22"/>
          <w:u w:val="none"/>
        </w:rPr>
      </w:pPr>
      <w:r w:rsidRPr="00405A9F">
        <w:rPr>
          <w:rFonts w:ascii="Book Antiqua" w:hAnsi="Book Antiqua"/>
          <w:sz w:val="22"/>
          <w:szCs w:val="22"/>
          <w:u w:val="none"/>
        </w:rPr>
        <w:t xml:space="preserve"> E</w:t>
      </w:r>
      <w:r w:rsidR="00405A9F">
        <w:rPr>
          <w:rFonts w:ascii="Book Antiqua" w:hAnsi="Book Antiqua"/>
          <w:sz w:val="22"/>
          <w:szCs w:val="22"/>
          <w:u w:val="none"/>
        </w:rPr>
        <w:t>tendu de l</w:t>
      </w:r>
      <w:r w:rsidRPr="00405A9F">
        <w:rPr>
          <w:rFonts w:ascii="Book Antiqua" w:hAnsi="Book Antiqua"/>
          <w:sz w:val="22"/>
          <w:szCs w:val="22"/>
          <w:u w:val="none"/>
        </w:rPr>
        <w:t>’A</w:t>
      </w:r>
      <w:r w:rsidR="00405A9F">
        <w:rPr>
          <w:rFonts w:ascii="Book Antiqua" w:hAnsi="Book Antiqua"/>
          <w:sz w:val="22"/>
          <w:szCs w:val="22"/>
          <w:u w:val="none"/>
        </w:rPr>
        <w:t>udit</w:t>
      </w: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lastRenderedPageBreak/>
        <w:t>L’audit sera réalisé conformément aux normes internationales d’audit (ISA) et donnera lieu à toutes les vérifications et contrôles que l’auditeur pourra juger nécessaire en la circonstance.</w:t>
      </w:r>
    </w:p>
    <w:p w:rsidR="000215B4" w:rsidRPr="005629B3" w:rsidRDefault="000215B4" w:rsidP="000215B4">
      <w:pPr>
        <w:rPr>
          <w:rFonts w:ascii="Book Antiqua" w:hAnsi="Book Antiqua"/>
          <w:sz w:val="22"/>
          <w:szCs w:val="22"/>
          <w:lang w:val="fr-FR"/>
        </w:rPr>
      </w:pP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L’auditeur s’assurera entre autres que :</w:t>
      </w: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Toutes les ressources extérieures ont été employées conformément aux dispositions des accords de financement applicables, dans un souci d’économie et d’efficience, et uniquement aux fins pour lesquelles elles ont été fournies.</w:t>
      </w:r>
    </w:p>
    <w:p w:rsidR="00153532" w:rsidRDefault="00153532" w:rsidP="006A52F4">
      <w:pPr>
        <w:numPr>
          <w:ilvl w:val="0"/>
          <w:numId w:val="2"/>
        </w:numPr>
        <w:tabs>
          <w:tab w:val="clear" w:pos="1134"/>
        </w:tabs>
        <w:rPr>
          <w:rFonts w:ascii="Book Antiqua" w:hAnsi="Book Antiqua"/>
          <w:sz w:val="22"/>
          <w:szCs w:val="22"/>
          <w:lang w:val="fr-FR"/>
        </w:rPr>
      </w:pPr>
      <w:r w:rsidRPr="002558BE">
        <w:rPr>
          <w:bCs/>
          <w:lang w:val="fr-FR"/>
        </w:rPr>
        <w:t xml:space="preserve">Toutes les ressources du </w:t>
      </w:r>
      <w:r>
        <w:rPr>
          <w:bCs/>
          <w:lang w:val="fr-FR"/>
        </w:rPr>
        <w:t>PARIIS</w:t>
      </w:r>
      <w:r w:rsidRPr="0099608D">
        <w:rPr>
          <w:bCs/>
          <w:lang w:val="fr-FR"/>
        </w:rPr>
        <w:t>ont été employé</w:t>
      </w:r>
      <w:r>
        <w:rPr>
          <w:bCs/>
          <w:lang w:val="fr-FR"/>
        </w:rPr>
        <w:t>e</w:t>
      </w:r>
      <w:r w:rsidRPr="0099608D">
        <w:rPr>
          <w:bCs/>
          <w:lang w:val="fr-FR"/>
        </w:rPr>
        <w:t xml:space="preserve">s conformément aux dispositions des accords de financement applicables, dans un souci d’économie et d’efficience, et uniquement aux fins pour lesquelles elles ont été </w:t>
      </w:r>
      <w:r>
        <w:rPr>
          <w:bCs/>
          <w:lang w:val="fr-FR"/>
        </w:rPr>
        <w:t>fournies</w:t>
      </w:r>
      <w:r w:rsidRPr="006B0E53">
        <w:rPr>
          <w:bCs/>
          <w:lang w:val="fr-FR"/>
        </w:rPr>
        <w:t> </w:t>
      </w:r>
      <w:r w:rsidRPr="0099608D">
        <w:rPr>
          <w:bCs/>
          <w:lang w:val="fr-FR"/>
        </w:rPr>
        <w:t>;</w:t>
      </w:r>
    </w:p>
    <w:p w:rsidR="000215B4" w:rsidRPr="005629B3" w:rsidRDefault="000215B4" w:rsidP="006A52F4">
      <w:pPr>
        <w:numPr>
          <w:ilvl w:val="0"/>
          <w:numId w:val="2"/>
        </w:numPr>
        <w:tabs>
          <w:tab w:val="clear" w:pos="1134"/>
        </w:tabs>
        <w:rPr>
          <w:rFonts w:ascii="Book Antiqua" w:hAnsi="Book Antiqua"/>
          <w:sz w:val="22"/>
          <w:szCs w:val="22"/>
          <w:lang w:val="fr-FR"/>
        </w:rPr>
      </w:pPr>
      <w:r w:rsidRPr="005629B3">
        <w:rPr>
          <w:rFonts w:ascii="Book Antiqua" w:hAnsi="Book Antiqua"/>
          <w:sz w:val="22"/>
          <w:szCs w:val="22"/>
          <w:lang w:val="fr-FR"/>
        </w:rPr>
        <w:t xml:space="preserve">Les </w:t>
      </w:r>
      <w:r w:rsidR="00153532">
        <w:rPr>
          <w:rFonts w:ascii="Book Antiqua" w:hAnsi="Book Antiqua"/>
          <w:sz w:val="22"/>
          <w:szCs w:val="22"/>
          <w:lang w:val="fr-FR"/>
        </w:rPr>
        <w:t xml:space="preserve">acquisitions de </w:t>
      </w:r>
      <w:r w:rsidRPr="005629B3">
        <w:rPr>
          <w:rFonts w:ascii="Book Antiqua" w:hAnsi="Book Antiqua"/>
          <w:sz w:val="22"/>
          <w:szCs w:val="22"/>
          <w:lang w:val="fr-FR"/>
        </w:rPr>
        <w:t>biens et services financés ont fait l’objet de marchés passés conformément aux dispositions des accords de financement applicables fondés sur les procédures de passation des marchés de la Banque Mondiale et ont été proprement enregistrés dans les livres du P</w:t>
      </w:r>
      <w:r w:rsidR="00053E41" w:rsidRPr="00053E41">
        <w:rPr>
          <w:rFonts w:ascii="Book Antiqua" w:hAnsi="Book Antiqua"/>
          <w:sz w:val="22"/>
          <w:szCs w:val="22"/>
          <w:lang w:val="fr-FR"/>
        </w:rPr>
        <w:t>ARIIS</w:t>
      </w:r>
      <w:r w:rsidRPr="005629B3">
        <w:rPr>
          <w:rFonts w:ascii="Book Antiqua" w:hAnsi="Book Antiqua"/>
          <w:sz w:val="22"/>
          <w:szCs w:val="22"/>
          <w:lang w:val="fr-FR"/>
        </w:rPr>
        <w:t>.</w:t>
      </w:r>
    </w:p>
    <w:p w:rsidR="000215B4" w:rsidRPr="005629B3" w:rsidRDefault="000215B4" w:rsidP="000215B4">
      <w:pPr>
        <w:numPr>
          <w:ilvl w:val="0"/>
          <w:numId w:val="2"/>
        </w:numPr>
        <w:tabs>
          <w:tab w:val="clear" w:pos="1134"/>
        </w:tabs>
        <w:rPr>
          <w:rFonts w:ascii="Book Antiqua" w:hAnsi="Book Antiqua"/>
          <w:sz w:val="22"/>
          <w:szCs w:val="22"/>
          <w:lang w:val="fr-FR"/>
        </w:rPr>
      </w:pPr>
      <w:r w:rsidRPr="00153532">
        <w:rPr>
          <w:rFonts w:ascii="Book Antiqua" w:hAnsi="Book Antiqua"/>
          <w:sz w:val="22"/>
          <w:szCs w:val="22"/>
          <w:lang w:val="fr-FR"/>
        </w:rPr>
        <w:t>Tous les dossiers, comptes et écritures nécessaires ont été tenus au titre des différentes opérations relatives au Projet (y compris les dépenses couvertes par des relevés de dépenses o</w:t>
      </w:r>
      <w:r w:rsidRPr="00171C2B">
        <w:rPr>
          <w:rFonts w:ascii="Book Antiqua" w:hAnsi="Book Antiqua"/>
          <w:sz w:val="22"/>
          <w:szCs w:val="22"/>
          <w:lang w:val="fr-FR"/>
        </w:rPr>
        <w:t xml:space="preserve">u comptes spéciaux). </w:t>
      </w:r>
      <w:r w:rsidR="00171C2B" w:rsidRPr="002558BE">
        <w:rPr>
          <w:bCs/>
          <w:lang w:val="fr-FR"/>
        </w:rPr>
        <w:t>Le</w:t>
      </w:r>
      <w:r w:rsidR="00171C2B">
        <w:rPr>
          <w:bCs/>
          <w:lang w:val="fr-FR"/>
        </w:rPr>
        <w:t xml:space="preserve"> Compte Désigné</w:t>
      </w:r>
      <w:r w:rsidR="00171C2B" w:rsidRPr="004E2F1D">
        <w:rPr>
          <w:bCs/>
          <w:lang w:val="fr-FR"/>
        </w:rPr>
        <w:t xml:space="preserve"> du Projet </w:t>
      </w:r>
      <w:r w:rsidR="00171C2B">
        <w:rPr>
          <w:bCs/>
          <w:lang w:val="fr-FR"/>
        </w:rPr>
        <w:t>es</w:t>
      </w:r>
      <w:r w:rsidR="00171C2B" w:rsidRPr="002558BE">
        <w:rPr>
          <w:bCs/>
          <w:lang w:val="fr-FR"/>
        </w:rPr>
        <w:t>t géré</w:t>
      </w:r>
      <w:r w:rsidR="00171C2B">
        <w:rPr>
          <w:bCs/>
          <w:lang w:val="fr-FR"/>
        </w:rPr>
        <w:t>a</w:t>
      </w:r>
      <w:r w:rsidR="00171C2B" w:rsidRPr="002558BE">
        <w:rPr>
          <w:bCs/>
          <w:lang w:val="fr-FR"/>
        </w:rPr>
        <w:t>u égard aux dispositions des accords de financement </w:t>
      </w:r>
      <w:r w:rsidRPr="005629B3">
        <w:rPr>
          <w:rFonts w:ascii="Book Antiqua" w:hAnsi="Book Antiqua"/>
          <w:sz w:val="22"/>
          <w:szCs w:val="22"/>
          <w:lang w:val="fr-FR"/>
        </w:rPr>
        <w:t>Les comptes du Projet ont été préparés sur la base de l’application systématique des normes comptables internationales et donnent une image fidèle de la situation financière du Projet à la fin de chaque exercice ; ainsi que des ressources reçues et des dépenses effectuées au cours de l’exercice clos à cette date.</w:t>
      </w:r>
    </w:p>
    <w:p w:rsidR="000215B4" w:rsidRPr="005629B3" w:rsidRDefault="000215B4" w:rsidP="000215B4">
      <w:pPr>
        <w:numPr>
          <w:ilvl w:val="0"/>
          <w:numId w:val="2"/>
        </w:numPr>
        <w:tabs>
          <w:tab w:val="clear" w:pos="1134"/>
        </w:tabs>
        <w:rPr>
          <w:rFonts w:ascii="Book Antiqua" w:hAnsi="Book Antiqua"/>
          <w:sz w:val="22"/>
          <w:szCs w:val="22"/>
          <w:lang w:val="fr-FR"/>
        </w:rPr>
      </w:pPr>
      <w:r w:rsidRPr="005629B3">
        <w:rPr>
          <w:rFonts w:ascii="Book Antiqua" w:hAnsi="Book Antiqua"/>
          <w:sz w:val="22"/>
          <w:szCs w:val="22"/>
          <w:lang w:val="fr-FR"/>
        </w:rPr>
        <w:t>La performance globale du Projet est satisfaisante.</w:t>
      </w:r>
    </w:p>
    <w:p w:rsidR="000215B4" w:rsidRPr="005629B3" w:rsidRDefault="000215B4" w:rsidP="000215B4">
      <w:pPr>
        <w:numPr>
          <w:ilvl w:val="0"/>
          <w:numId w:val="2"/>
        </w:numPr>
        <w:tabs>
          <w:tab w:val="clear" w:pos="1134"/>
        </w:tabs>
        <w:rPr>
          <w:rFonts w:ascii="Book Antiqua" w:hAnsi="Book Antiqua"/>
          <w:sz w:val="22"/>
          <w:szCs w:val="22"/>
          <w:lang w:val="fr-FR"/>
        </w:rPr>
      </w:pPr>
      <w:r w:rsidRPr="005629B3">
        <w:rPr>
          <w:rFonts w:ascii="Book Antiqua" w:hAnsi="Book Antiqua"/>
          <w:sz w:val="22"/>
          <w:szCs w:val="22"/>
          <w:lang w:val="fr-FR"/>
        </w:rPr>
        <w:t>Les actifs immobilisés du Projet sont réels et correctement évalués et le droit de propriété du Projet ou des bénéficiaires sur ces actifs est établi en conformité avec l’accord de financement.</w:t>
      </w:r>
    </w:p>
    <w:p w:rsidR="000215B4" w:rsidRPr="005629B3" w:rsidRDefault="000215B4" w:rsidP="000215B4">
      <w:pPr>
        <w:numPr>
          <w:ilvl w:val="0"/>
          <w:numId w:val="2"/>
        </w:numPr>
        <w:tabs>
          <w:tab w:val="clear" w:pos="1134"/>
        </w:tabs>
        <w:rPr>
          <w:rFonts w:ascii="Book Antiqua" w:hAnsi="Book Antiqua"/>
          <w:sz w:val="22"/>
          <w:szCs w:val="22"/>
          <w:lang w:val="fr-FR"/>
        </w:rPr>
      </w:pPr>
      <w:r w:rsidRPr="005629B3">
        <w:rPr>
          <w:rFonts w:ascii="Book Antiqua" w:hAnsi="Book Antiqua"/>
          <w:sz w:val="22"/>
          <w:szCs w:val="22"/>
          <w:lang w:val="fr-FR"/>
        </w:rPr>
        <w:t>Les dépenses inéligibles incluses dans les demandes de remboursement de fonds identifiées lors de l’audit ont été remboursées au Compte Désigné. Ces dépenses feront l’objet d’une note séparée dans le rapport d’audit.</w:t>
      </w:r>
    </w:p>
    <w:p w:rsidR="000215B4" w:rsidRPr="005629B3" w:rsidRDefault="000215B4" w:rsidP="000215B4">
      <w:pPr>
        <w:rPr>
          <w:rFonts w:ascii="Book Antiqua" w:hAnsi="Book Antiqua"/>
          <w:sz w:val="22"/>
          <w:szCs w:val="22"/>
          <w:lang w:val="fr-FR"/>
        </w:rPr>
      </w:pP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En conformité avec les normes de l’IFAC, l’auditeur devra accorder une attention particulière aux points suivants :</w:t>
      </w:r>
    </w:p>
    <w:p w:rsidR="000215B4" w:rsidRPr="005629B3" w:rsidRDefault="000215B4" w:rsidP="000215B4">
      <w:pPr>
        <w:rPr>
          <w:rFonts w:ascii="Book Antiqua" w:hAnsi="Book Antiqua"/>
          <w:sz w:val="22"/>
          <w:szCs w:val="22"/>
          <w:lang w:val="fr-FR"/>
        </w:rPr>
      </w:pPr>
    </w:p>
    <w:p w:rsidR="000215B4" w:rsidRPr="005629B3" w:rsidRDefault="000215B4" w:rsidP="000215B4">
      <w:pPr>
        <w:numPr>
          <w:ilvl w:val="0"/>
          <w:numId w:val="3"/>
        </w:numPr>
        <w:tabs>
          <w:tab w:val="clear" w:pos="1134"/>
        </w:tabs>
        <w:rPr>
          <w:rFonts w:ascii="Book Antiqua" w:hAnsi="Book Antiqua"/>
          <w:sz w:val="22"/>
          <w:szCs w:val="22"/>
          <w:lang w:val="fr-FR"/>
        </w:rPr>
      </w:pPr>
      <w:r w:rsidRPr="005629B3">
        <w:rPr>
          <w:rFonts w:ascii="Book Antiqua" w:hAnsi="Book Antiqua"/>
          <w:sz w:val="22"/>
          <w:szCs w:val="22"/>
          <w:lang w:val="fr-FR"/>
        </w:rPr>
        <w:t>Fraude et corruption : Conformément à la norme ISA 240 (prise en compte du risque de fraude et d’erreur lors de l’audit des comptes), l’auditeur devra identifier et évaluer les risques de fraude, obtenir ou fournir des preuves d’audit suffisantes d’analyse de ces risques et traiter de manière appropriée les fraudes identifiées ou suspectées.</w:t>
      </w:r>
    </w:p>
    <w:p w:rsidR="000215B4" w:rsidRPr="005629B3" w:rsidRDefault="000215B4" w:rsidP="000215B4">
      <w:pPr>
        <w:ind w:left="705"/>
        <w:rPr>
          <w:rFonts w:ascii="Book Antiqua" w:hAnsi="Book Antiqua"/>
          <w:sz w:val="22"/>
          <w:szCs w:val="22"/>
          <w:lang w:val="fr-FR"/>
        </w:rPr>
      </w:pPr>
    </w:p>
    <w:p w:rsidR="000215B4" w:rsidRPr="005629B3" w:rsidRDefault="000215B4" w:rsidP="000215B4">
      <w:pPr>
        <w:numPr>
          <w:ilvl w:val="0"/>
          <w:numId w:val="3"/>
        </w:numPr>
        <w:tabs>
          <w:tab w:val="clear" w:pos="1134"/>
        </w:tabs>
        <w:rPr>
          <w:rFonts w:ascii="Book Antiqua" w:hAnsi="Book Antiqua"/>
          <w:sz w:val="22"/>
          <w:szCs w:val="22"/>
          <w:lang w:val="fr-FR"/>
        </w:rPr>
      </w:pPr>
      <w:r w:rsidRPr="005629B3">
        <w:rPr>
          <w:rFonts w:ascii="Book Antiqua" w:hAnsi="Book Antiqua"/>
          <w:sz w:val="22"/>
          <w:szCs w:val="22"/>
          <w:lang w:val="fr-FR"/>
        </w:rPr>
        <w:t>Lois et Règlements : En élaborant l’approche d’audit et en exécutant les procédures d’audit, l’auditeur devra évaluer la conformité de l’Unité de Coordination du Projet avec les états financiers comme  requis par la norme ISA 250 (prise en compte du risque d’anomalies dans les comptes résultant du non respect des textes légaux et réglementaires).</w:t>
      </w:r>
    </w:p>
    <w:p w:rsidR="000215B4" w:rsidRPr="005629B3" w:rsidRDefault="000215B4" w:rsidP="000215B4">
      <w:pPr>
        <w:rPr>
          <w:rFonts w:ascii="Book Antiqua" w:hAnsi="Book Antiqua"/>
          <w:sz w:val="22"/>
          <w:szCs w:val="22"/>
          <w:lang w:val="fr-FR"/>
        </w:rPr>
      </w:pPr>
    </w:p>
    <w:p w:rsidR="000215B4" w:rsidRPr="005629B3" w:rsidRDefault="000215B4" w:rsidP="000215B4">
      <w:pPr>
        <w:numPr>
          <w:ilvl w:val="0"/>
          <w:numId w:val="3"/>
        </w:numPr>
        <w:tabs>
          <w:tab w:val="clear" w:pos="1134"/>
        </w:tabs>
        <w:rPr>
          <w:rFonts w:ascii="Book Antiqua" w:hAnsi="Book Antiqua"/>
          <w:sz w:val="22"/>
          <w:szCs w:val="22"/>
          <w:lang w:val="fr-FR"/>
        </w:rPr>
      </w:pPr>
      <w:r w:rsidRPr="005629B3">
        <w:rPr>
          <w:rFonts w:ascii="Book Antiqua" w:hAnsi="Book Antiqua"/>
          <w:sz w:val="22"/>
          <w:szCs w:val="22"/>
          <w:lang w:val="fr-FR"/>
        </w:rPr>
        <w:t xml:space="preserve">Gouvernance : La communication avec les responsables du Projet en charge de </w:t>
      </w:r>
      <w:smartTag w:uri="urn:schemas-microsoft-com:office:smarttags" w:element="PersonName">
        <w:smartTagPr>
          <w:attr w:name="ProductID" w:val="la Gouvernance"/>
        </w:smartTagPr>
        <w:r w:rsidRPr="005629B3">
          <w:rPr>
            <w:rFonts w:ascii="Book Antiqua" w:hAnsi="Book Antiqua"/>
            <w:sz w:val="22"/>
            <w:szCs w:val="22"/>
            <w:lang w:val="fr-FR"/>
          </w:rPr>
          <w:t>la Gouvernance</w:t>
        </w:r>
      </w:smartTag>
      <w:r w:rsidRPr="005629B3">
        <w:rPr>
          <w:rFonts w:ascii="Book Antiqua" w:hAnsi="Book Antiqua"/>
          <w:sz w:val="22"/>
          <w:szCs w:val="22"/>
          <w:lang w:val="fr-FR"/>
        </w:rPr>
        <w:t xml:space="preserve"> des points d’audit significatifs en conformité avec la norme ISA 260 (Communication sur les points d’audit avec les personnes en charge de </w:t>
      </w:r>
      <w:smartTag w:uri="urn:schemas-microsoft-com:office:smarttags" w:element="PersonName">
        <w:smartTagPr>
          <w:attr w:name="ProductID" w:val="la Gouvernance"/>
        </w:smartTagPr>
        <w:r w:rsidRPr="005629B3">
          <w:rPr>
            <w:rFonts w:ascii="Book Antiqua" w:hAnsi="Book Antiqua"/>
            <w:sz w:val="22"/>
            <w:szCs w:val="22"/>
            <w:lang w:val="fr-FR"/>
          </w:rPr>
          <w:t>la Gouvernance</w:t>
        </w:r>
      </w:smartTag>
      <w:r w:rsidRPr="005629B3">
        <w:rPr>
          <w:rFonts w:ascii="Book Antiqua" w:hAnsi="Book Antiqua"/>
          <w:sz w:val="22"/>
          <w:szCs w:val="22"/>
          <w:lang w:val="fr-FR"/>
        </w:rPr>
        <w:t>).</w:t>
      </w:r>
    </w:p>
    <w:p w:rsidR="000215B4" w:rsidRPr="005629B3" w:rsidRDefault="000215B4" w:rsidP="000215B4">
      <w:pPr>
        <w:ind w:left="705"/>
        <w:rPr>
          <w:rFonts w:ascii="Book Antiqua" w:hAnsi="Book Antiqua"/>
          <w:sz w:val="22"/>
          <w:szCs w:val="22"/>
          <w:lang w:val="fr-FR"/>
        </w:rPr>
      </w:pPr>
    </w:p>
    <w:p w:rsidR="000215B4" w:rsidRPr="005629B3" w:rsidRDefault="000215B4" w:rsidP="000215B4">
      <w:pPr>
        <w:numPr>
          <w:ilvl w:val="0"/>
          <w:numId w:val="3"/>
        </w:numPr>
        <w:tabs>
          <w:tab w:val="clear" w:pos="1134"/>
        </w:tabs>
        <w:rPr>
          <w:rFonts w:ascii="Book Antiqua" w:hAnsi="Book Antiqua"/>
          <w:sz w:val="22"/>
          <w:szCs w:val="22"/>
          <w:lang w:val="fr-FR"/>
        </w:rPr>
      </w:pPr>
      <w:r w:rsidRPr="005629B3">
        <w:rPr>
          <w:rFonts w:ascii="Book Antiqua" w:hAnsi="Book Antiqua"/>
          <w:sz w:val="22"/>
          <w:szCs w:val="22"/>
          <w:lang w:val="fr-FR"/>
        </w:rPr>
        <w:lastRenderedPageBreak/>
        <w:t>Risque : Dans l’objectif de réduire les risques d’audit à un niveau relativement faible, l’auditeur mettra en œuvre les procédures d’audit appropriées en réponse aux risques d’anomalies identifiés à l’issu de son évaluation. Cela en conformité avec la norme ISA 330 (Procédures d’audit mises en œuvre par l’auditeur à l’issue de son évaluation des risques).</w:t>
      </w:r>
    </w:p>
    <w:p w:rsidR="000215B4" w:rsidRPr="005629B3" w:rsidRDefault="000215B4" w:rsidP="000215B4">
      <w:pPr>
        <w:rPr>
          <w:rFonts w:ascii="Book Antiqua" w:hAnsi="Book Antiqua"/>
          <w:sz w:val="22"/>
          <w:szCs w:val="22"/>
          <w:lang w:val="fr-FR"/>
        </w:rPr>
      </w:pPr>
    </w:p>
    <w:p w:rsidR="000215B4" w:rsidRPr="005629B3" w:rsidRDefault="000215B4" w:rsidP="000215B4">
      <w:pPr>
        <w:rPr>
          <w:rFonts w:ascii="Book Antiqua" w:hAnsi="Book Antiqua"/>
          <w:sz w:val="22"/>
          <w:szCs w:val="22"/>
          <w:lang w:val="fr-FR"/>
        </w:rPr>
      </w:pPr>
    </w:p>
    <w:p w:rsidR="000215B4" w:rsidRPr="00B57F58" w:rsidRDefault="000215B4" w:rsidP="00B57F58">
      <w:pPr>
        <w:pStyle w:val="Titre"/>
        <w:numPr>
          <w:ilvl w:val="0"/>
          <w:numId w:val="1"/>
        </w:numPr>
        <w:spacing w:after="120"/>
        <w:ind w:left="0" w:hanging="426"/>
        <w:jc w:val="left"/>
        <w:rPr>
          <w:rFonts w:ascii="Book Antiqua" w:hAnsi="Book Antiqua"/>
          <w:sz w:val="22"/>
          <w:szCs w:val="22"/>
          <w:u w:val="none"/>
        </w:rPr>
      </w:pPr>
      <w:r w:rsidRPr="00405A9F">
        <w:rPr>
          <w:rFonts w:ascii="Book Antiqua" w:hAnsi="Book Antiqua"/>
          <w:sz w:val="22"/>
          <w:szCs w:val="22"/>
          <w:u w:val="none"/>
        </w:rPr>
        <w:t>Etats Financiers du P</w:t>
      </w:r>
      <w:r w:rsidR="006A52F4" w:rsidRPr="00405A9F">
        <w:rPr>
          <w:rFonts w:ascii="Book Antiqua" w:hAnsi="Book Antiqua"/>
          <w:sz w:val="22"/>
          <w:szCs w:val="22"/>
          <w:u w:val="none"/>
        </w:rPr>
        <w:t>ARIIS</w:t>
      </w: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Les états financiers du Projet devraient comprendre :</w:t>
      </w:r>
    </w:p>
    <w:p w:rsidR="00171C2B" w:rsidRPr="00093B7A" w:rsidRDefault="00171C2B" w:rsidP="00093B7A">
      <w:pPr>
        <w:numPr>
          <w:ilvl w:val="0"/>
          <w:numId w:val="4"/>
        </w:numPr>
        <w:tabs>
          <w:tab w:val="clear" w:pos="1134"/>
        </w:tabs>
        <w:rPr>
          <w:bCs/>
          <w:lang w:val="fr-FR"/>
        </w:rPr>
      </w:pPr>
      <w:r>
        <w:rPr>
          <w:bCs/>
          <w:lang w:val="fr-FR"/>
        </w:rPr>
        <w:t>Les états financiers prévus par le plan comptable applicable,</w:t>
      </w:r>
    </w:p>
    <w:p w:rsidR="000215B4" w:rsidRPr="005629B3" w:rsidRDefault="000215B4" w:rsidP="000215B4">
      <w:pPr>
        <w:numPr>
          <w:ilvl w:val="0"/>
          <w:numId w:val="4"/>
        </w:numPr>
        <w:tabs>
          <w:tab w:val="clear" w:pos="1134"/>
        </w:tabs>
        <w:rPr>
          <w:rFonts w:ascii="Book Antiqua" w:hAnsi="Book Antiqua"/>
          <w:sz w:val="22"/>
          <w:szCs w:val="22"/>
          <w:lang w:val="fr-FR"/>
        </w:rPr>
      </w:pPr>
      <w:r w:rsidRPr="005629B3">
        <w:rPr>
          <w:rFonts w:ascii="Book Antiqua" w:hAnsi="Book Antiqua"/>
          <w:sz w:val="22"/>
          <w:szCs w:val="22"/>
          <w:lang w:val="fr-FR"/>
        </w:rPr>
        <w:t>un état des ressources (fonds reçus des Bailleurs de fonds, du Gouvernement) et emplois (dépenses engagées au cours de l’exercice considéré) ;</w:t>
      </w:r>
    </w:p>
    <w:p w:rsidR="00171C2B" w:rsidRDefault="000215B4" w:rsidP="000215B4">
      <w:pPr>
        <w:numPr>
          <w:ilvl w:val="0"/>
          <w:numId w:val="4"/>
        </w:numPr>
        <w:tabs>
          <w:tab w:val="clear" w:pos="1134"/>
        </w:tabs>
        <w:rPr>
          <w:rFonts w:ascii="Book Antiqua" w:hAnsi="Book Antiqua"/>
          <w:sz w:val="22"/>
          <w:szCs w:val="22"/>
          <w:lang w:val="fr-FR"/>
        </w:rPr>
      </w:pPr>
      <w:r w:rsidRPr="005629B3">
        <w:rPr>
          <w:rFonts w:ascii="Book Antiqua" w:hAnsi="Book Antiqua"/>
          <w:sz w:val="22"/>
          <w:szCs w:val="22"/>
          <w:lang w:val="fr-FR"/>
        </w:rPr>
        <w:t xml:space="preserve">Un Etat </w:t>
      </w:r>
      <w:r w:rsidR="00171C2B">
        <w:rPr>
          <w:rFonts w:ascii="Book Antiqua" w:hAnsi="Book Antiqua"/>
          <w:sz w:val="22"/>
          <w:szCs w:val="22"/>
          <w:lang w:val="fr-FR"/>
        </w:rPr>
        <w:t>des transactions</w:t>
      </w:r>
      <w:r w:rsidRPr="005629B3">
        <w:rPr>
          <w:rFonts w:ascii="Book Antiqua" w:hAnsi="Book Antiqua"/>
          <w:sz w:val="22"/>
          <w:szCs w:val="22"/>
          <w:lang w:val="fr-FR"/>
        </w:rPr>
        <w:t xml:space="preserve"> du compte désigné, </w:t>
      </w:r>
    </w:p>
    <w:p w:rsidR="000215B4" w:rsidRPr="005629B3" w:rsidRDefault="000215B4" w:rsidP="000215B4">
      <w:pPr>
        <w:numPr>
          <w:ilvl w:val="0"/>
          <w:numId w:val="4"/>
        </w:numPr>
        <w:tabs>
          <w:tab w:val="clear" w:pos="1134"/>
        </w:tabs>
        <w:rPr>
          <w:rFonts w:ascii="Book Antiqua" w:hAnsi="Book Antiqua"/>
          <w:sz w:val="22"/>
          <w:szCs w:val="22"/>
          <w:lang w:val="fr-FR"/>
        </w:rPr>
      </w:pPr>
      <w:r w:rsidRPr="005629B3">
        <w:rPr>
          <w:rFonts w:ascii="Book Antiqua" w:hAnsi="Book Antiqua"/>
          <w:sz w:val="22"/>
          <w:szCs w:val="22"/>
          <w:lang w:val="fr-FR"/>
        </w:rPr>
        <w:t xml:space="preserve"> une situation patrimoniale indiqu</w:t>
      </w:r>
      <w:r w:rsidR="00171C2B">
        <w:rPr>
          <w:rFonts w:ascii="Book Antiqua" w:hAnsi="Book Antiqua"/>
          <w:sz w:val="22"/>
          <w:szCs w:val="22"/>
          <w:lang w:val="fr-FR"/>
        </w:rPr>
        <w:t>a</w:t>
      </w:r>
      <w:r w:rsidRPr="005629B3">
        <w:rPr>
          <w:rFonts w:ascii="Book Antiqua" w:hAnsi="Book Antiqua"/>
          <w:sz w:val="22"/>
          <w:szCs w:val="22"/>
          <w:lang w:val="fr-FR"/>
        </w:rPr>
        <w:t>nt les fonds cumulés du Projet, les soldes bancaires, les autres actifs du Projet et les engagements, le cas échéant, et ;</w:t>
      </w:r>
    </w:p>
    <w:p w:rsidR="000215B4" w:rsidRPr="005629B3" w:rsidRDefault="000215B4" w:rsidP="000215B4">
      <w:pPr>
        <w:numPr>
          <w:ilvl w:val="0"/>
          <w:numId w:val="4"/>
        </w:numPr>
        <w:tabs>
          <w:tab w:val="clear" w:pos="1134"/>
        </w:tabs>
        <w:rPr>
          <w:rFonts w:ascii="Book Antiqua" w:hAnsi="Book Antiqua"/>
          <w:sz w:val="22"/>
          <w:szCs w:val="22"/>
          <w:lang w:val="fr-FR"/>
        </w:rPr>
      </w:pPr>
      <w:r w:rsidRPr="005629B3">
        <w:rPr>
          <w:rFonts w:ascii="Book Antiqua" w:hAnsi="Book Antiqua"/>
          <w:sz w:val="22"/>
          <w:szCs w:val="22"/>
          <w:lang w:val="fr-FR"/>
        </w:rPr>
        <w:t>les notes sur les états financiers reprenant les principes comptables utilisés et présentant une analyse détaillée et expliquée des principaux comptes ;</w:t>
      </w:r>
    </w:p>
    <w:p w:rsidR="000215B4" w:rsidRPr="005629B3" w:rsidRDefault="000215B4" w:rsidP="000215B4">
      <w:pPr>
        <w:numPr>
          <w:ilvl w:val="0"/>
          <w:numId w:val="4"/>
        </w:numPr>
        <w:tabs>
          <w:tab w:val="clear" w:pos="1134"/>
        </w:tabs>
        <w:rPr>
          <w:rFonts w:ascii="Book Antiqua" w:hAnsi="Book Antiqua"/>
          <w:sz w:val="22"/>
          <w:szCs w:val="22"/>
          <w:lang w:val="fr-FR"/>
        </w:rPr>
      </w:pPr>
      <w:r w:rsidRPr="005629B3">
        <w:rPr>
          <w:rFonts w:ascii="Book Antiqua" w:hAnsi="Book Antiqua"/>
          <w:sz w:val="22"/>
          <w:szCs w:val="22"/>
          <w:lang w:val="fr-FR"/>
        </w:rPr>
        <w:t>la liste des actifs immobilisés acquis ou achetés par les fonds du Projet.</w:t>
      </w:r>
    </w:p>
    <w:p w:rsidR="000215B4" w:rsidRPr="005629B3" w:rsidRDefault="000215B4" w:rsidP="000215B4">
      <w:pPr>
        <w:rPr>
          <w:rFonts w:ascii="Book Antiqua" w:hAnsi="Book Antiqua"/>
          <w:sz w:val="22"/>
          <w:szCs w:val="22"/>
          <w:lang w:val="fr-FR"/>
        </w:rPr>
      </w:pPr>
    </w:p>
    <w:p w:rsidR="000215B4" w:rsidRPr="005629B3" w:rsidRDefault="000215B4" w:rsidP="006A52F4">
      <w:pPr>
        <w:rPr>
          <w:rFonts w:ascii="Book Antiqua" w:hAnsi="Book Antiqua"/>
          <w:sz w:val="22"/>
          <w:szCs w:val="22"/>
          <w:lang w:val="fr-FR"/>
        </w:rPr>
      </w:pPr>
      <w:r w:rsidRPr="005629B3">
        <w:rPr>
          <w:rFonts w:ascii="Book Antiqua" w:hAnsi="Book Antiqua"/>
          <w:sz w:val="22"/>
          <w:szCs w:val="22"/>
          <w:lang w:val="fr-FR"/>
        </w:rPr>
        <w:t>L’UCP P</w:t>
      </w:r>
      <w:r w:rsidR="00053E41" w:rsidRPr="00053E41">
        <w:rPr>
          <w:rFonts w:ascii="Book Antiqua" w:hAnsi="Book Antiqua"/>
          <w:sz w:val="22"/>
          <w:szCs w:val="22"/>
          <w:lang w:val="fr-FR"/>
        </w:rPr>
        <w:t>ARIIS</w:t>
      </w:r>
      <w:r w:rsidRPr="005629B3">
        <w:rPr>
          <w:rFonts w:ascii="Book Antiqua" w:hAnsi="Book Antiqua"/>
          <w:sz w:val="22"/>
          <w:szCs w:val="22"/>
          <w:lang w:val="fr-FR"/>
        </w:rPr>
        <w:t xml:space="preserve"> a la responsabilité de la préparation de ces états financiers.</w:t>
      </w:r>
    </w:p>
    <w:p w:rsidR="000215B4" w:rsidRPr="005629B3" w:rsidRDefault="000215B4" w:rsidP="000215B4">
      <w:pPr>
        <w:rPr>
          <w:rFonts w:ascii="Book Antiqua" w:hAnsi="Book Antiqua"/>
          <w:sz w:val="22"/>
          <w:szCs w:val="22"/>
          <w:lang w:val="fr-FR"/>
        </w:rPr>
      </w:pPr>
    </w:p>
    <w:p w:rsidR="000215B4" w:rsidRPr="005629B3" w:rsidRDefault="000215B4" w:rsidP="00093B7A">
      <w:pPr>
        <w:rPr>
          <w:rFonts w:ascii="Book Antiqua" w:hAnsi="Book Antiqua"/>
          <w:sz w:val="22"/>
          <w:szCs w:val="22"/>
          <w:lang w:val="fr-FR"/>
        </w:rPr>
      </w:pPr>
      <w:r w:rsidRPr="005629B3">
        <w:rPr>
          <w:rFonts w:ascii="Book Antiqua" w:hAnsi="Book Antiqua"/>
          <w:sz w:val="22"/>
          <w:szCs w:val="22"/>
          <w:lang w:val="fr-FR"/>
        </w:rPr>
        <w:t>L</w:t>
      </w:r>
      <w:r w:rsidR="0087565C">
        <w:rPr>
          <w:rFonts w:ascii="Book Antiqua" w:hAnsi="Book Antiqua"/>
          <w:sz w:val="22"/>
          <w:szCs w:val="22"/>
          <w:lang w:val="fr-FR"/>
        </w:rPr>
        <w:t>’auditeur</w:t>
      </w:r>
      <w:r w:rsidRPr="005629B3">
        <w:rPr>
          <w:rFonts w:ascii="Book Antiqua" w:hAnsi="Book Antiqua"/>
          <w:sz w:val="22"/>
          <w:szCs w:val="22"/>
          <w:lang w:val="fr-FR"/>
        </w:rPr>
        <w:t xml:space="preserve"> devra présenter en annexe aux états financiers, une réconciliation préparée par le Projet, des fonds reçus par le Projet en provenance de la Banque Mondiale d’une part, et les fonds décaissés par la Banque Mondiale d’autre part.</w:t>
      </w:r>
    </w:p>
    <w:p w:rsidR="000215B4" w:rsidRPr="005629B3" w:rsidRDefault="000215B4" w:rsidP="000215B4">
      <w:pPr>
        <w:rPr>
          <w:rFonts w:ascii="Book Antiqua" w:hAnsi="Book Antiqua"/>
          <w:sz w:val="22"/>
          <w:szCs w:val="22"/>
          <w:lang w:val="fr-FR"/>
        </w:rPr>
      </w:pPr>
    </w:p>
    <w:p w:rsidR="000215B4" w:rsidRPr="005629B3" w:rsidRDefault="00171C2B" w:rsidP="000215B4">
      <w:pPr>
        <w:numPr>
          <w:ilvl w:val="0"/>
          <w:numId w:val="8"/>
        </w:numPr>
        <w:tabs>
          <w:tab w:val="clear" w:pos="1134"/>
        </w:tabs>
        <w:rPr>
          <w:rFonts w:ascii="Book Antiqua" w:hAnsi="Book Antiqua"/>
          <w:sz w:val="22"/>
          <w:szCs w:val="22"/>
          <w:lang w:val="fr-FR"/>
        </w:rPr>
      </w:pPr>
      <w:r>
        <w:rPr>
          <w:rFonts w:ascii="Book Antiqua" w:hAnsi="Book Antiqua"/>
          <w:sz w:val="22"/>
          <w:szCs w:val="22"/>
          <w:lang w:val="fr-FR"/>
        </w:rPr>
        <w:t>Etats Certifiés deD</w:t>
      </w:r>
      <w:r w:rsidR="000215B4" w:rsidRPr="005629B3">
        <w:rPr>
          <w:rFonts w:ascii="Book Antiqua" w:hAnsi="Book Antiqua"/>
          <w:sz w:val="22"/>
          <w:szCs w:val="22"/>
          <w:lang w:val="fr-FR"/>
        </w:rPr>
        <w:t>épenses</w:t>
      </w:r>
      <w:r>
        <w:rPr>
          <w:rFonts w:ascii="Book Antiqua" w:hAnsi="Book Antiqua"/>
          <w:sz w:val="22"/>
          <w:szCs w:val="22"/>
          <w:lang w:val="fr-FR"/>
        </w:rPr>
        <w:t xml:space="preserve"> (ECD)</w:t>
      </w:r>
    </w:p>
    <w:p w:rsidR="000215B4" w:rsidRPr="005629B3" w:rsidRDefault="000215B4" w:rsidP="000215B4">
      <w:pPr>
        <w:rPr>
          <w:rFonts w:ascii="Book Antiqua" w:hAnsi="Book Antiqua"/>
          <w:sz w:val="22"/>
          <w:szCs w:val="22"/>
          <w:lang w:val="fr-FR"/>
        </w:rPr>
      </w:pPr>
    </w:p>
    <w:p w:rsidR="00171C2B" w:rsidRPr="00093B7A" w:rsidRDefault="00171C2B" w:rsidP="00171C2B">
      <w:pPr>
        <w:rPr>
          <w:rFonts w:ascii="Book Antiqua" w:hAnsi="Book Antiqua"/>
          <w:sz w:val="22"/>
          <w:szCs w:val="22"/>
          <w:lang w:val="fr-FR"/>
        </w:rPr>
      </w:pPr>
      <w:r w:rsidRPr="00093B7A">
        <w:rPr>
          <w:rFonts w:ascii="Book Antiqua" w:hAnsi="Book Antiqua"/>
          <w:sz w:val="22"/>
          <w:szCs w:val="22"/>
          <w:lang w:val="fr-FR"/>
        </w:rPr>
        <w:t>En plus de l’audit des états financiers, l’auditeur devra vérifier les états certifiés de toutes les dépenses ou les rapports de suivi financiers utilisés comme base de demande de remboursement de fonds à la Banque Mondiale. L’auditeur effectuera les tests, procédures d’audits et vérification considérésnécessaires au regard des circonstances. Il sera inclus aux états financiers, une annexe de la liste des états certifiés de dépenses base de demande de remboursement avec les références spécifiques relatives au montant et à la séquentialité numérique.</w:t>
      </w:r>
    </w:p>
    <w:p w:rsidR="00171C2B" w:rsidRPr="00093B7A" w:rsidRDefault="00171C2B" w:rsidP="00171C2B">
      <w:pPr>
        <w:rPr>
          <w:rFonts w:ascii="Book Antiqua" w:hAnsi="Book Antiqua"/>
          <w:sz w:val="22"/>
          <w:szCs w:val="22"/>
          <w:lang w:val="fr-FR"/>
        </w:rPr>
      </w:pPr>
    </w:p>
    <w:p w:rsidR="00171C2B" w:rsidRPr="00093B7A" w:rsidRDefault="00171C2B" w:rsidP="00171C2B">
      <w:pPr>
        <w:rPr>
          <w:rFonts w:ascii="Book Antiqua" w:hAnsi="Book Antiqua"/>
          <w:sz w:val="22"/>
          <w:szCs w:val="22"/>
          <w:lang w:val="fr-FR"/>
        </w:rPr>
      </w:pPr>
      <w:r w:rsidRPr="00093B7A">
        <w:rPr>
          <w:rFonts w:ascii="Book Antiqua" w:hAnsi="Book Antiqua"/>
          <w:sz w:val="22"/>
          <w:szCs w:val="22"/>
          <w:lang w:val="fr-FR"/>
        </w:rPr>
        <w:t xml:space="preserve">Le total des demandes de remboursement de fonds sous les procédures des états certifiés de dépenses ou des rapports de suivi financier devrait être un élément de la réconciliation globale des décaissements décrite dans le paragraphe 5 ci-dessus. </w:t>
      </w:r>
    </w:p>
    <w:p w:rsidR="000215B4" w:rsidRPr="005629B3" w:rsidRDefault="000215B4" w:rsidP="000215B4">
      <w:pPr>
        <w:rPr>
          <w:rFonts w:ascii="Book Antiqua" w:hAnsi="Book Antiqua"/>
          <w:sz w:val="22"/>
          <w:szCs w:val="22"/>
          <w:lang w:val="fr-FR"/>
        </w:rPr>
      </w:pPr>
    </w:p>
    <w:p w:rsidR="000215B4" w:rsidRPr="00093B7A" w:rsidRDefault="000215B4" w:rsidP="00093B7A">
      <w:pPr>
        <w:pStyle w:val="Titre"/>
        <w:numPr>
          <w:ilvl w:val="0"/>
          <w:numId w:val="1"/>
        </w:numPr>
        <w:spacing w:after="120"/>
        <w:ind w:left="0" w:hanging="426"/>
        <w:jc w:val="left"/>
        <w:rPr>
          <w:rFonts w:ascii="Book Antiqua" w:hAnsi="Book Antiqua"/>
          <w:b w:val="0"/>
          <w:sz w:val="22"/>
          <w:szCs w:val="22"/>
          <w:u w:val="none"/>
          <w:lang w:eastAsia="en-GB"/>
        </w:rPr>
      </w:pPr>
      <w:r w:rsidRPr="00093B7A">
        <w:rPr>
          <w:rFonts w:ascii="Book Antiqua" w:hAnsi="Book Antiqua"/>
          <w:b w:val="0"/>
          <w:sz w:val="22"/>
          <w:szCs w:val="22"/>
          <w:u w:val="none"/>
          <w:lang w:eastAsia="en-GB"/>
        </w:rPr>
        <w:t xml:space="preserve">Compte </w:t>
      </w:r>
      <w:r w:rsidR="00171C2B" w:rsidRPr="00093B7A">
        <w:rPr>
          <w:rFonts w:ascii="Book Antiqua" w:hAnsi="Book Antiqua"/>
          <w:b w:val="0"/>
          <w:sz w:val="22"/>
          <w:szCs w:val="22"/>
          <w:u w:val="none"/>
          <w:lang w:eastAsia="en-GB"/>
        </w:rPr>
        <w:t>désigné</w:t>
      </w:r>
    </w:p>
    <w:p w:rsidR="00171C2B" w:rsidRPr="00093B7A" w:rsidRDefault="00171C2B" w:rsidP="00171C2B">
      <w:pPr>
        <w:rPr>
          <w:rFonts w:ascii="Book Antiqua" w:hAnsi="Book Antiqua"/>
          <w:sz w:val="22"/>
          <w:szCs w:val="22"/>
          <w:lang w:val="fr-FR"/>
        </w:rPr>
      </w:pPr>
      <w:r w:rsidRPr="00093B7A">
        <w:rPr>
          <w:rFonts w:ascii="Book Antiqua" w:hAnsi="Book Antiqua"/>
          <w:sz w:val="22"/>
          <w:szCs w:val="22"/>
          <w:lang w:val="fr-FR"/>
        </w:rPr>
        <w:t>Dans le cadre de l’audit des états financiers du projet, l’auditeur devra analyser les transactions du Compte Désigné qui incluent normalement :</w:t>
      </w:r>
    </w:p>
    <w:p w:rsidR="00171C2B" w:rsidRPr="00093B7A" w:rsidRDefault="00171C2B" w:rsidP="00171C2B">
      <w:pPr>
        <w:tabs>
          <w:tab w:val="left" w:pos="720"/>
        </w:tabs>
        <w:autoSpaceDE w:val="0"/>
        <w:autoSpaceDN w:val="0"/>
        <w:adjustRightInd w:val="0"/>
        <w:ind w:left="720"/>
        <w:rPr>
          <w:rFonts w:ascii="Book Antiqua" w:hAnsi="Book Antiqua"/>
          <w:sz w:val="22"/>
          <w:szCs w:val="22"/>
          <w:lang w:val="fr-FR"/>
        </w:rPr>
      </w:pPr>
    </w:p>
    <w:p w:rsidR="00171C2B" w:rsidRPr="00093B7A" w:rsidRDefault="00171C2B" w:rsidP="00171C2B">
      <w:pPr>
        <w:numPr>
          <w:ilvl w:val="0"/>
          <w:numId w:val="11"/>
        </w:numPr>
        <w:tabs>
          <w:tab w:val="clear" w:pos="1134"/>
          <w:tab w:val="left" w:pos="720"/>
        </w:tabs>
        <w:autoSpaceDE w:val="0"/>
        <w:autoSpaceDN w:val="0"/>
        <w:adjustRightInd w:val="0"/>
        <w:rPr>
          <w:rFonts w:ascii="Book Antiqua" w:hAnsi="Book Antiqua"/>
          <w:sz w:val="22"/>
          <w:szCs w:val="22"/>
          <w:lang w:val="fr-FR"/>
        </w:rPr>
      </w:pPr>
      <w:r w:rsidRPr="00093B7A">
        <w:rPr>
          <w:rFonts w:ascii="Book Antiqua" w:hAnsi="Book Antiqua"/>
          <w:sz w:val="22"/>
          <w:szCs w:val="22"/>
          <w:lang w:val="fr-FR"/>
        </w:rPr>
        <w:t>Les avances reçues de la Banque Mondiale;</w:t>
      </w:r>
    </w:p>
    <w:p w:rsidR="00171C2B" w:rsidRPr="00093B7A" w:rsidRDefault="00171C2B" w:rsidP="00171C2B">
      <w:pPr>
        <w:numPr>
          <w:ilvl w:val="0"/>
          <w:numId w:val="11"/>
        </w:numPr>
        <w:tabs>
          <w:tab w:val="clear" w:pos="1134"/>
          <w:tab w:val="left" w:pos="720"/>
        </w:tabs>
        <w:autoSpaceDE w:val="0"/>
        <w:autoSpaceDN w:val="0"/>
        <w:adjustRightInd w:val="0"/>
        <w:rPr>
          <w:rFonts w:ascii="Book Antiqua" w:hAnsi="Book Antiqua"/>
          <w:sz w:val="22"/>
          <w:szCs w:val="22"/>
          <w:lang w:val="fr-FR"/>
        </w:rPr>
      </w:pPr>
      <w:r w:rsidRPr="00093B7A">
        <w:rPr>
          <w:rFonts w:ascii="Book Antiqua" w:hAnsi="Book Antiqua"/>
          <w:sz w:val="22"/>
          <w:szCs w:val="22"/>
          <w:lang w:val="fr-FR"/>
        </w:rPr>
        <w:t>Les reconstitutions du Compte Désigné soutenue par les demandes de remboursement de fonds ;</w:t>
      </w:r>
    </w:p>
    <w:p w:rsidR="00171C2B" w:rsidRPr="00093B7A" w:rsidRDefault="00171C2B" w:rsidP="00171C2B">
      <w:pPr>
        <w:numPr>
          <w:ilvl w:val="0"/>
          <w:numId w:val="11"/>
        </w:numPr>
        <w:tabs>
          <w:tab w:val="clear" w:pos="1134"/>
          <w:tab w:val="left" w:pos="720"/>
        </w:tabs>
        <w:autoSpaceDE w:val="0"/>
        <w:autoSpaceDN w:val="0"/>
        <w:adjustRightInd w:val="0"/>
        <w:rPr>
          <w:rFonts w:ascii="Book Antiqua" w:hAnsi="Book Antiqua"/>
          <w:sz w:val="22"/>
          <w:szCs w:val="22"/>
          <w:lang w:val="fr-FR"/>
        </w:rPr>
      </w:pPr>
      <w:r w:rsidRPr="00093B7A">
        <w:rPr>
          <w:rFonts w:ascii="Book Antiqua" w:hAnsi="Book Antiqua"/>
          <w:sz w:val="22"/>
          <w:szCs w:val="22"/>
          <w:lang w:val="fr-FR"/>
        </w:rPr>
        <w:t>Les intérêts éventuellement générés sur le compte qui appartiennent au Projet ;</w:t>
      </w:r>
    </w:p>
    <w:p w:rsidR="00171C2B" w:rsidRPr="00093B7A" w:rsidRDefault="00171C2B" w:rsidP="00171C2B">
      <w:pPr>
        <w:numPr>
          <w:ilvl w:val="0"/>
          <w:numId w:val="11"/>
        </w:numPr>
        <w:tabs>
          <w:tab w:val="clear" w:pos="1134"/>
          <w:tab w:val="left" w:pos="720"/>
        </w:tabs>
        <w:autoSpaceDE w:val="0"/>
        <w:autoSpaceDN w:val="0"/>
        <w:adjustRightInd w:val="0"/>
        <w:rPr>
          <w:rFonts w:ascii="Book Antiqua" w:hAnsi="Book Antiqua"/>
          <w:sz w:val="22"/>
          <w:szCs w:val="22"/>
          <w:lang w:val="fr-FR"/>
        </w:rPr>
      </w:pPr>
      <w:r w:rsidRPr="00093B7A">
        <w:rPr>
          <w:rFonts w:ascii="Book Antiqua" w:hAnsi="Book Antiqua"/>
          <w:sz w:val="22"/>
          <w:szCs w:val="22"/>
          <w:lang w:val="fr-FR"/>
        </w:rPr>
        <w:t>Les retraits relatifs aux dépenses du Projet.</w:t>
      </w: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lastRenderedPageBreak/>
        <w:t>L’auditeur examinera l’éligibilité des transactions financières couvrant la période sous revue et les soldes des fonds à la clôture de l’exercice fiscal en conformité avec les dispositions de l’accord de financement et de la lettre de décaissement.</w:t>
      </w:r>
    </w:p>
    <w:p w:rsidR="00171C2B" w:rsidRPr="00093B7A" w:rsidRDefault="00171C2B" w:rsidP="00171C2B">
      <w:pPr>
        <w:tabs>
          <w:tab w:val="left" w:pos="720"/>
        </w:tabs>
        <w:autoSpaceDE w:val="0"/>
        <w:autoSpaceDN w:val="0"/>
        <w:adjustRightInd w:val="0"/>
        <w:rPr>
          <w:rFonts w:ascii="Book Antiqua" w:hAnsi="Book Antiqua"/>
          <w:sz w:val="22"/>
          <w:szCs w:val="22"/>
          <w:lang w:val="fr-FR"/>
        </w:rPr>
      </w:pPr>
      <w:r w:rsidRPr="00093B7A">
        <w:rPr>
          <w:rFonts w:ascii="Book Antiqua" w:hAnsi="Book Antiqua"/>
          <w:sz w:val="22"/>
          <w:szCs w:val="22"/>
          <w:lang w:val="fr-FR"/>
        </w:rPr>
        <w:t>Il examinera l’adéquation du système de contrôle interne en fonction du mécanisme de décaissement. Il convient de noter que les conditions de gestion des Comptes Désignés sont décrites dans l’accord de financement et dans la lettre de décaissement.</w:t>
      </w:r>
    </w:p>
    <w:p w:rsidR="00A362CD" w:rsidRPr="005629B3" w:rsidRDefault="00A362CD" w:rsidP="000215B4">
      <w:pPr>
        <w:rPr>
          <w:rFonts w:ascii="Book Antiqua" w:hAnsi="Book Antiqua"/>
          <w:sz w:val="22"/>
          <w:szCs w:val="22"/>
          <w:lang w:val="fr-FR"/>
        </w:rPr>
      </w:pPr>
    </w:p>
    <w:p w:rsidR="000215B4" w:rsidRPr="00093B7A" w:rsidRDefault="000215B4" w:rsidP="00093B7A">
      <w:pPr>
        <w:pStyle w:val="Titre"/>
        <w:numPr>
          <w:ilvl w:val="0"/>
          <w:numId w:val="1"/>
        </w:numPr>
        <w:spacing w:after="120"/>
        <w:ind w:left="0" w:hanging="426"/>
        <w:jc w:val="left"/>
        <w:rPr>
          <w:rFonts w:ascii="Book Antiqua" w:hAnsi="Book Antiqua"/>
          <w:b w:val="0"/>
          <w:bCs/>
          <w:sz w:val="22"/>
          <w:szCs w:val="22"/>
          <w:lang w:eastAsia="en-GB"/>
        </w:rPr>
      </w:pPr>
      <w:r w:rsidRPr="00A362CD">
        <w:rPr>
          <w:rFonts w:ascii="Book Antiqua" w:hAnsi="Book Antiqua"/>
          <w:sz w:val="22"/>
          <w:szCs w:val="22"/>
          <w:u w:val="none"/>
        </w:rPr>
        <w:t xml:space="preserve"> L</w:t>
      </w:r>
      <w:r w:rsidR="00A362CD">
        <w:rPr>
          <w:rFonts w:ascii="Book Antiqua" w:hAnsi="Book Antiqua"/>
          <w:sz w:val="22"/>
          <w:szCs w:val="22"/>
          <w:u w:val="none"/>
        </w:rPr>
        <w:t xml:space="preserve">ettre sur le </w:t>
      </w:r>
      <w:r w:rsidR="00A362CD" w:rsidRPr="00A362CD">
        <w:rPr>
          <w:rFonts w:ascii="Book Antiqua" w:hAnsi="Book Antiqua"/>
          <w:sz w:val="22"/>
          <w:szCs w:val="22"/>
          <w:u w:val="none"/>
        </w:rPr>
        <w:t>C</w:t>
      </w:r>
      <w:r w:rsidR="00A362CD">
        <w:rPr>
          <w:rFonts w:ascii="Book Antiqua" w:hAnsi="Book Antiqua"/>
          <w:sz w:val="22"/>
          <w:szCs w:val="22"/>
          <w:u w:val="none"/>
        </w:rPr>
        <w:t>ontrôle</w:t>
      </w:r>
      <w:r w:rsidR="00A362CD" w:rsidRPr="00A362CD">
        <w:rPr>
          <w:rFonts w:ascii="Book Antiqua" w:hAnsi="Book Antiqua"/>
          <w:sz w:val="22"/>
          <w:szCs w:val="22"/>
          <w:u w:val="none"/>
        </w:rPr>
        <w:t>I</w:t>
      </w:r>
      <w:r w:rsidR="00A362CD">
        <w:rPr>
          <w:rFonts w:ascii="Book Antiqua" w:hAnsi="Book Antiqua"/>
          <w:sz w:val="22"/>
          <w:szCs w:val="22"/>
          <w:u w:val="none"/>
        </w:rPr>
        <w:t>nterne</w:t>
      </w: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En plus du rapport d’audit sur les états financiers, l’auditeur préparera une lettre de contrôle interne</w:t>
      </w:r>
      <w:r w:rsidR="001D4FA9">
        <w:rPr>
          <w:rFonts w:ascii="Book Antiqua" w:hAnsi="Book Antiqua"/>
          <w:sz w:val="22"/>
          <w:szCs w:val="22"/>
          <w:lang w:val="fr-FR"/>
        </w:rPr>
        <w:t xml:space="preserve"> qui inclura :</w:t>
      </w:r>
    </w:p>
    <w:p w:rsidR="000215B4" w:rsidRPr="005629B3" w:rsidRDefault="000215B4" w:rsidP="000215B4">
      <w:pPr>
        <w:numPr>
          <w:ilvl w:val="0"/>
          <w:numId w:val="6"/>
        </w:numPr>
        <w:tabs>
          <w:tab w:val="clear" w:pos="1134"/>
        </w:tabs>
        <w:rPr>
          <w:rFonts w:ascii="Book Antiqua" w:hAnsi="Book Antiqua"/>
          <w:sz w:val="22"/>
          <w:szCs w:val="22"/>
          <w:lang w:val="fr-FR"/>
        </w:rPr>
      </w:pPr>
      <w:r w:rsidRPr="005629B3">
        <w:rPr>
          <w:rFonts w:ascii="Book Antiqua" w:hAnsi="Book Antiqua"/>
          <w:sz w:val="22"/>
          <w:szCs w:val="22"/>
          <w:lang w:val="fr-FR"/>
        </w:rPr>
        <w:t>Des commentaires et observations sur les enregistrements comptables, les systèmes et contrôles examinés durant l’audit ;</w:t>
      </w:r>
    </w:p>
    <w:p w:rsidR="000215B4" w:rsidRPr="005629B3" w:rsidRDefault="000215B4" w:rsidP="000215B4">
      <w:pPr>
        <w:ind w:left="360"/>
        <w:rPr>
          <w:rFonts w:ascii="Book Antiqua" w:hAnsi="Book Antiqua"/>
          <w:sz w:val="22"/>
          <w:szCs w:val="22"/>
          <w:lang w:val="fr-FR"/>
        </w:rPr>
      </w:pPr>
    </w:p>
    <w:p w:rsidR="000215B4" w:rsidRPr="005629B3" w:rsidRDefault="000215B4" w:rsidP="000215B4">
      <w:pPr>
        <w:numPr>
          <w:ilvl w:val="0"/>
          <w:numId w:val="6"/>
        </w:numPr>
        <w:tabs>
          <w:tab w:val="clear" w:pos="1134"/>
        </w:tabs>
        <w:rPr>
          <w:rFonts w:ascii="Book Antiqua" w:hAnsi="Book Antiqua"/>
          <w:sz w:val="22"/>
          <w:szCs w:val="22"/>
          <w:lang w:val="fr-FR"/>
        </w:rPr>
      </w:pPr>
      <w:r w:rsidRPr="005629B3">
        <w:rPr>
          <w:rFonts w:ascii="Book Antiqua" w:hAnsi="Book Antiqua"/>
          <w:sz w:val="22"/>
          <w:szCs w:val="22"/>
          <w:lang w:val="fr-FR"/>
        </w:rPr>
        <w:t>Les insuffisances dans le système de contrôle interne et les recommandations pour l’amélioration de ce système ;</w:t>
      </w:r>
    </w:p>
    <w:p w:rsidR="000215B4" w:rsidRPr="005629B3" w:rsidRDefault="000215B4" w:rsidP="000215B4">
      <w:pPr>
        <w:rPr>
          <w:rFonts w:ascii="Book Antiqua" w:hAnsi="Book Antiqua"/>
          <w:sz w:val="22"/>
          <w:szCs w:val="22"/>
          <w:lang w:val="fr-FR"/>
        </w:rPr>
      </w:pPr>
    </w:p>
    <w:p w:rsidR="000215B4" w:rsidRPr="005629B3" w:rsidRDefault="000215B4" w:rsidP="000215B4">
      <w:pPr>
        <w:numPr>
          <w:ilvl w:val="0"/>
          <w:numId w:val="6"/>
        </w:numPr>
        <w:tabs>
          <w:tab w:val="clear" w:pos="1134"/>
        </w:tabs>
        <w:rPr>
          <w:rFonts w:ascii="Book Antiqua" w:hAnsi="Book Antiqua"/>
          <w:sz w:val="22"/>
          <w:szCs w:val="22"/>
          <w:lang w:val="fr-FR"/>
        </w:rPr>
      </w:pPr>
      <w:r w:rsidRPr="005629B3">
        <w:rPr>
          <w:rFonts w:ascii="Book Antiqua" w:hAnsi="Book Antiqua"/>
          <w:sz w:val="22"/>
          <w:szCs w:val="22"/>
          <w:lang w:val="fr-FR"/>
        </w:rPr>
        <w:t xml:space="preserve"> Le degré de conformité avec chaque engagement financier contenu dans l’accord de financement et les commentaires si nécessaire sur les problèmes externes et internes affectant cette conformité ;</w:t>
      </w:r>
    </w:p>
    <w:p w:rsidR="000215B4" w:rsidRPr="005629B3" w:rsidRDefault="000215B4" w:rsidP="000215B4">
      <w:pPr>
        <w:ind w:left="360"/>
        <w:rPr>
          <w:rFonts w:ascii="Book Antiqua" w:hAnsi="Book Antiqua"/>
          <w:sz w:val="22"/>
          <w:szCs w:val="22"/>
          <w:lang w:val="fr-FR"/>
        </w:rPr>
      </w:pPr>
    </w:p>
    <w:p w:rsidR="000215B4" w:rsidRPr="005629B3" w:rsidRDefault="000215B4" w:rsidP="000215B4">
      <w:pPr>
        <w:numPr>
          <w:ilvl w:val="0"/>
          <w:numId w:val="6"/>
        </w:numPr>
        <w:tabs>
          <w:tab w:val="clear" w:pos="1134"/>
        </w:tabs>
        <w:rPr>
          <w:rFonts w:ascii="Book Antiqua" w:hAnsi="Book Antiqua"/>
          <w:sz w:val="22"/>
          <w:szCs w:val="22"/>
          <w:lang w:val="fr-FR"/>
        </w:rPr>
      </w:pPr>
      <w:r w:rsidRPr="005629B3">
        <w:rPr>
          <w:rFonts w:ascii="Book Antiqua" w:hAnsi="Book Antiqua"/>
          <w:sz w:val="22"/>
          <w:szCs w:val="22"/>
          <w:lang w:val="fr-FR"/>
        </w:rPr>
        <w:t xml:space="preserve"> Les problèmes de communication identifiés durant l’audit susceptibles d’avoir un impact significatif sur l’exécution du projet ;</w:t>
      </w:r>
    </w:p>
    <w:p w:rsidR="000215B4" w:rsidRPr="005629B3" w:rsidRDefault="000215B4" w:rsidP="000215B4">
      <w:pPr>
        <w:rPr>
          <w:rFonts w:ascii="Book Antiqua" w:hAnsi="Book Antiqua"/>
          <w:sz w:val="22"/>
          <w:szCs w:val="22"/>
          <w:lang w:val="fr-FR"/>
        </w:rPr>
      </w:pPr>
    </w:p>
    <w:p w:rsidR="000215B4" w:rsidRPr="005629B3" w:rsidRDefault="000215B4" w:rsidP="000215B4">
      <w:pPr>
        <w:numPr>
          <w:ilvl w:val="0"/>
          <w:numId w:val="6"/>
        </w:numPr>
        <w:tabs>
          <w:tab w:val="clear" w:pos="1134"/>
        </w:tabs>
        <w:rPr>
          <w:rFonts w:ascii="Book Antiqua" w:hAnsi="Book Antiqua"/>
          <w:sz w:val="22"/>
          <w:szCs w:val="22"/>
          <w:lang w:val="fr-FR"/>
        </w:rPr>
      </w:pPr>
      <w:r w:rsidRPr="005629B3">
        <w:rPr>
          <w:rFonts w:ascii="Book Antiqua" w:hAnsi="Book Antiqua"/>
          <w:sz w:val="22"/>
          <w:szCs w:val="22"/>
          <w:lang w:val="fr-FR"/>
        </w:rPr>
        <w:t>Les commentaires sur la résolution des anomalies et réserves ;</w:t>
      </w:r>
    </w:p>
    <w:p w:rsidR="000215B4" w:rsidRPr="005629B3" w:rsidRDefault="000215B4" w:rsidP="000215B4">
      <w:pPr>
        <w:ind w:left="360"/>
        <w:rPr>
          <w:rFonts w:ascii="Book Antiqua" w:hAnsi="Book Antiqua"/>
          <w:sz w:val="22"/>
          <w:szCs w:val="22"/>
          <w:lang w:val="fr-FR"/>
        </w:rPr>
      </w:pPr>
    </w:p>
    <w:p w:rsidR="000215B4" w:rsidRPr="005629B3" w:rsidRDefault="000215B4" w:rsidP="000215B4">
      <w:pPr>
        <w:numPr>
          <w:ilvl w:val="0"/>
          <w:numId w:val="6"/>
        </w:numPr>
        <w:tabs>
          <w:tab w:val="clear" w:pos="1134"/>
        </w:tabs>
        <w:rPr>
          <w:rFonts w:ascii="Book Antiqua" w:hAnsi="Book Antiqua"/>
          <w:sz w:val="22"/>
          <w:szCs w:val="22"/>
          <w:lang w:val="fr-FR"/>
        </w:rPr>
      </w:pPr>
      <w:r w:rsidRPr="005629B3">
        <w:rPr>
          <w:rFonts w:ascii="Book Antiqua" w:hAnsi="Book Antiqua"/>
          <w:sz w:val="22"/>
          <w:szCs w:val="22"/>
          <w:lang w:val="fr-FR"/>
        </w:rPr>
        <w:t>Les commentaires sur les recommandations non exécutées des rapports d’audit précédents ;</w:t>
      </w:r>
    </w:p>
    <w:p w:rsidR="000215B4" w:rsidRPr="005629B3" w:rsidRDefault="000215B4" w:rsidP="000215B4">
      <w:pPr>
        <w:ind w:left="360"/>
        <w:rPr>
          <w:rFonts w:ascii="Book Antiqua" w:hAnsi="Book Antiqua"/>
          <w:sz w:val="22"/>
          <w:szCs w:val="22"/>
          <w:lang w:val="fr-FR"/>
        </w:rPr>
      </w:pPr>
    </w:p>
    <w:p w:rsidR="000215B4" w:rsidRPr="005629B3" w:rsidRDefault="000215B4" w:rsidP="000215B4">
      <w:pPr>
        <w:numPr>
          <w:ilvl w:val="0"/>
          <w:numId w:val="6"/>
        </w:numPr>
        <w:tabs>
          <w:tab w:val="clear" w:pos="1134"/>
        </w:tabs>
        <w:rPr>
          <w:rFonts w:ascii="Book Antiqua" w:hAnsi="Book Antiqua"/>
          <w:sz w:val="22"/>
          <w:szCs w:val="22"/>
          <w:lang w:val="fr-FR"/>
        </w:rPr>
      </w:pPr>
      <w:r w:rsidRPr="005629B3">
        <w:rPr>
          <w:rFonts w:ascii="Book Antiqua" w:hAnsi="Book Antiqua"/>
          <w:sz w:val="22"/>
          <w:szCs w:val="22"/>
          <w:lang w:val="fr-FR"/>
        </w:rPr>
        <w:t>Les commentaires sur toute autre anomalie que l’auditeur jugera pertinente incluant les dépenses inéligibles.</w:t>
      </w:r>
    </w:p>
    <w:p w:rsidR="000215B4" w:rsidRPr="005629B3" w:rsidRDefault="000215B4" w:rsidP="000215B4">
      <w:pPr>
        <w:rPr>
          <w:rFonts w:ascii="Book Antiqua" w:hAnsi="Book Antiqua"/>
          <w:sz w:val="22"/>
          <w:szCs w:val="22"/>
          <w:lang w:val="fr-FR"/>
        </w:rPr>
      </w:pPr>
    </w:p>
    <w:p w:rsidR="000215B4" w:rsidRDefault="000215B4" w:rsidP="000215B4">
      <w:pPr>
        <w:rPr>
          <w:rFonts w:ascii="Book Antiqua" w:hAnsi="Book Antiqua"/>
          <w:sz w:val="22"/>
          <w:szCs w:val="22"/>
          <w:lang w:val="fr-FR"/>
        </w:rPr>
      </w:pPr>
      <w:r w:rsidRPr="005629B3">
        <w:rPr>
          <w:rFonts w:ascii="Book Antiqua" w:hAnsi="Book Antiqua"/>
          <w:sz w:val="22"/>
          <w:szCs w:val="22"/>
          <w:lang w:val="fr-FR"/>
        </w:rPr>
        <w:t>Idéalement, la lettre de contrôle interne devra inclure les réponses des entités d’exécution sur les insuffisances relevées par l’auditeur.</w:t>
      </w:r>
    </w:p>
    <w:p w:rsidR="00A362CD" w:rsidRPr="005629B3" w:rsidRDefault="00A362CD" w:rsidP="000215B4">
      <w:pPr>
        <w:rPr>
          <w:rFonts w:ascii="Book Antiqua" w:hAnsi="Book Antiqua"/>
          <w:sz w:val="22"/>
          <w:szCs w:val="22"/>
          <w:lang w:val="fr-FR"/>
        </w:rPr>
      </w:pPr>
    </w:p>
    <w:p w:rsidR="000215B4" w:rsidRPr="00093B7A" w:rsidRDefault="000215B4" w:rsidP="00093B7A">
      <w:pPr>
        <w:pStyle w:val="Titre"/>
        <w:numPr>
          <w:ilvl w:val="0"/>
          <w:numId w:val="1"/>
        </w:numPr>
        <w:spacing w:after="120"/>
        <w:ind w:left="0" w:hanging="426"/>
        <w:jc w:val="left"/>
        <w:rPr>
          <w:rFonts w:ascii="Book Antiqua" w:hAnsi="Book Antiqua"/>
          <w:sz w:val="22"/>
          <w:szCs w:val="22"/>
          <w:u w:val="none"/>
        </w:rPr>
      </w:pPr>
      <w:r w:rsidRPr="00A362CD">
        <w:rPr>
          <w:rFonts w:ascii="Book Antiqua" w:hAnsi="Book Antiqua"/>
          <w:sz w:val="22"/>
          <w:szCs w:val="22"/>
          <w:u w:val="none"/>
        </w:rPr>
        <w:t xml:space="preserve"> R</w:t>
      </w:r>
      <w:r w:rsidR="00A362CD">
        <w:rPr>
          <w:rFonts w:ascii="Book Antiqua" w:hAnsi="Book Antiqua"/>
          <w:sz w:val="22"/>
          <w:szCs w:val="22"/>
          <w:u w:val="none"/>
        </w:rPr>
        <w:t>apports de  l</w:t>
      </w:r>
      <w:r w:rsidRPr="00A362CD">
        <w:rPr>
          <w:rFonts w:ascii="Book Antiqua" w:hAnsi="Book Antiqua"/>
          <w:sz w:val="22"/>
          <w:szCs w:val="22"/>
          <w:u w:val="none"/>
        </w:rPr>
        <w:t>’A</w:t>
      </w:r>
      <w:r w:rsidR="00A362CD">
        <w:rPr>
          <w:rFonts w:ascii="Book Antiqua" w:hAnsi="Book Antiqua"/>
          <w:sz w:val="22"/>
          <w:szCs w:val="22"/>
          <w:u w:val="none"/>
        </w:rPr>
        <w:t>uditeur</w:t>
      </w: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L’auditeur émettra</w:t>
      </w:r>
      <w:r w:rsidR="001D4FA9">
        <w:rPr>
          <w:rFonts w:ascii="Book Antiqua" w:hAnsi="Book Antiqua"/>
          <w:sz w:val="22"/>
          <w:szCs w:val="22"/>
          <w:lang w:val="fr-FR"/>
        </w:rPr>
        <w:t xml:space="preserve"> une opinion </w:t>
      </w:r>
      <w:r w:rsidRPr="005629B3">
        <w:rPr>
          <w:rFonts w:ascii="Book Antiqua" w:hAnsi="Book Antiqua"/>
          <w:sz w:val="22"/>
          <w:szCs w:val="22"/>
          <w:lang w:val="fr-FR"/>
        </w:rPr>
        <w:t>:</w:t>
      </w:r>
    </w:p>
    <w:p w:rsidR="000215B4" w:rsidRPr="005629B3" w:rsidRDefault="000215B4" w:rsidP="000215B4">
      <w:pPr>
        <w:rPr>
          <w:rFonts w:ascii="Book Antiqua" w:hAnsi="Book Antiqua"/>
          <w:sz w:val="22"/>
          <w:szCs w:val="22"/>
          <w:lang w:val="fr-FR"/>
        </w:rPr>
      </w:pPr>
    </w:p>
    <w:p w:rsidR="001D4FA9" w:rsidRDefault="000215B4" w:rsidP="000215B4">
      <w:pPr>
        <w:numPr>
          <w:ilvl w:val="0"/>
          <w:numId w:val="7"/>
        </w:numPr>
        <w:tabs>
          <w:tab w:val="clear" w:pos="1134"/>
        </w:tabs>
        <w:rPr>
          <w:rFonts w:ascii="Book Antiqua" w:hAnsi="Book Antiqua"/>
          <w:sz w:val="22"/>
          <w:szCs w:val="22"/>
          <w:lang w:val="fr-FR"/>
        </w:rPr>
      </w:pPr>
      <w:r w:rsidRPr="005629B3">
        <w:rPr>
          <w:rFonts w:ascii="Book Antiqua" w:hAnsi="Book Antiqua"/>
          <w:sz w:val="22"/>
          <w:szCs w:val="22"/>
          <w:lang w:val="fr-FR"/>
        </w:rPr>
        <w:t>sur les états financiers du Projet,</w:t>
      </w:r>
    </w:p>
    <w:p w:rsidR="001D4FA9" w:rsidRPr="001D4FA9" w:rsidRDefault="000215B4" w:rsidP="000215B4">
      <w:pPr>
        <w:numPr>
          <w:ilvl w:val="0"/>
          <w:numId w:val="7"/>
        </w:numPr>
        <w:tabs>
          <w:tab w:val="clear" w:pos="1134"/>
        </w:tabs>
        <w:rPr>
          <w:rFonts w:ascii="Book Antiqua" w:hAnsi="Book Antiqua"/>
          <w:sz w:val="22"/>
          <w:szCs w:val="22"/>
          <w:lang w:val="fr-FR"/>
        </w:rPr>
      </w:pPr>
      <w:r w:rsidRPr="005629B3">
        <w:rPr>
          <w:rFonts w:ascii="Book Antiqua" w:hAnsi="Book Antiqua"/>
          <w:sz w:val="22"/>
          <w:szCs w:val="22"/>
          <w:lang w:val="fr-FR"/>
        </w:rPr>
        <w:t xml:space="preserve">sur les comptes </w:t>
      </w:r>
      <w:r w:rsidR="001D4FA9">
        <w:rPr>
          <w:rFonts w:ascii="Book Antiqua" w:hAnsi="Book Antiqua"/>
          <w:sz w:val="22"/>
          <w:szCs w:val="22"/>
          <w:lang w:val="fr-FR"/>
        </w:rPr>
        <w:t>désignés</w:t>
      </w:r>
      <w:r w:rsidRPr="005629B3">
        <w:rPr>
          <w:rFonts w:ascii="Book Antiqua" w:hAnsi="Book Antiqua"/>
          <w:sz w:val="22"/>
          <w:szCs w:val="22"/>
          <w:lang w:val="fr-FR"/>
        </w:rPr>
        <w:t>, relative à leur utilisation rationnelle</w:t>
      </w:r>
      <w:r w:rsidR="001D4FA9">
        <w:rPr>
          <w:rFonts w:ascii="Book Antiqua" w:hAnsi="Book Antiqua"/>
          <w:sz w:val="22"/>
          <w:szCs w:val="22"/>
          <w:lang w:val="fr-FR"/>
        </w:rPr>
        <w:t xml:space="preserve"> ; à </w:t>
      </w:r>
      <w:r w:rsidR="001D4FA9" w:rsidRPr="00044F53">
        <w:rPr>
          <w:lang w:val="fr-FR"/>
        </w:rPr>
        <w:t>l</w:t>
      </w:r>
      <w:r w:rsidR="001D4FA9">
        <w:rPr>
          <w:lang w:val="fr-FR"/>
        </w:rPr>
        <w:t>’éligibilité et à la justification des dépenses débitées de ce compte</w:t>
      </w:r>
    </w:p>
    <w:p w:rsidR="000215B4" w:rsidRPr="005629B3" w:rsidRDefault="001D4FA9" w:rsidP="000215B4">
      <w:pPr>
        <w:numPr>
          <w:ilvl w:val="0"/>
          <w:numId w:val="7"/>
        </w:numPr>
        <w:tabs>
          <w:tab w:val="clear" w:pos="1134"/>
        </w:tabs>
        <w:rPr>
          <w:rFonts w:ascii="Book Antiqua" w:hAnsi="Book Antiqua"/>
          <w:sz w:val="22"/>
          <w:szCs w:val="22"/>
          <w:lang w:val="fr-FR"/>
        </w:rPr>
      </w:pPr>
      <w:r w:rsidRPr="006D6F21">
        <w:rPr>
          <w:rFonts w:eastAsia="Calibri"/>
          <w:lang w:val="fr-FR"/>
        </w:rPr>
        <w:t>les cas de non conformité par rapport à l’Accord de Crédit</w:t>
      </w:r>
      <w:r w:rsidR="000215B4" w:rsidRPr="005629B3">
        <w:rPr>
          <w:rFonts w:ascii="Book Antiqua" w:hAnsi="Book Antiqua"/>
          <w:sz w:val="22"/>
          <w:szCs w:val="22"/>
          <w:lang w:val="fr-FR"/>
        </w:rPr>
        <w:t>.</w:t>
      </w:r>
    </w:p>
    <w:p w:rsidR="000215B4" w:rsidRPr="005629B3" w:rsidRDefault="000215B4" w:rsidP="000215B4">
      <w:pPr>
        <w:ind w:left="360"/>
        <w:rPr>
          <w:rFonts w:ascii="Book Antiqua" w:hAnsi="Book Antiqua"/>
          <w:sz w:val="22"/>
          <w:szCs w:val="22"/>
          <w:lang w:val="fr-FR"/>
        </w:rPr>
      </w:pPr>
    </w:p>
    <w:p w:rsidR="000215B4" w:rsidRPr="00A362CD" w:rsidRDefault="000215B4" w:rsidP="00A362CD">
      <w:pPr>
        <w:pStyle w:val="Titre"/>
        <w:numPr>
          <w:ilvl w:val="0"/>
          <w:numId w:val="1"/>
        </w:numPr>
        <w:spacing w:after="120"/>
        <w:ind w:left="0" w:hanging="426"/>
        <w:jc w:val="left"/>
        <w:rPr>
          <w:rFonts w:ascii="Book Antiqua" w:hAnsi="Book Antiqua"/>
          <w:b w:val="0"/>
          <w:bCs/>
          <w:sz w:val="22"/>
          <w:szCs w:val="22"/>
          <w:u w:val="none"/>
          <w:lang w:eastAsia="en-GB"/>
        </w:rPr>
      </w:pPr>
      <w:r w:rsidRPr="00A362CD">
        <w:rPr>
          <w:rFonts w:ascii="Book Antiqua" w:hAnsi="Book Antiqua"/>
          <w:sz w:val="22"/>
          <w:szCs w:val="22"/>
          <w:u w:val="none"/>
        </w:rPr>
        <w:t>P</w:t>
      </w:r>
      <w:r w:rsidR="00A362CD" w:rsidRPr="00A362CD">
        <w:rPr>
          <w:rFonts w:ascii="Book Antiqua" w:hAnsi="Book Antiqua"/>
          <w:sz w:val="22"/>
          <w:szCs w:val="22"/>
          <w:u w:val="none"/>
        </w:rPr>
        <w:t xml:space="preserve">oints </w:t>
      </w:r>
      <w:r w:rsidRPr="00A362CD">
        <w:rPr>
          <w:rFonts w:ascii="Book Antiqua" w:hAnsi="Book Antiqua"/>
          <w:sz w:val="22"/>
          <w:szCs w:val="22"/>
          <w:u w:val="none"/>
        </w:rPr>
        <w:t xml:space="preserve"> G</w:t>
      </w:r>
      <w:r w:rsidR="00A362CD" w:rsidRPr="00A362CD">
        <w:rPr>
          <w:rFonts w:ascii="Book Antiqua" w:hAnsi="Book Antiqua"/>
          <w:sz w:val="22"/>
          <w:szCs w:val="22"/>
          <w:u w:val="none"/>
        </w:rPr>
        <w:t>énéraux</w:t>
      </w: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L’auditeur aura accès à tous les documents juridiques, rapports d’évaluation, rapports de supervision, échanges de correspondance et autres éléments d’information liés au Projet et jugés nécessaires par l’auditeur.</w:t>
      </w:r>
    </w:p>
    <w:p w:rsidR="000215B4" w:rsidRDefault="000215B4" w:rsidP="000215B4">
      <w:pPr>
        <w:rPr>
          <w:rFonts w:ascii="Book Antiqua" w:hAnsi="Book Antiqua"/>
          <w:sz w:val="22"/>
          <w:szCs w:val="22"/>
          <w:lang w:val="fr-FR"/>
        </w:rPr>
      </w:pPr>
      <w:r w:rsidRPr="005629B3">
        <w:rPr>
          <w:rFonts w:ascii="Book Antiqua" w:hAnsi="Book Antiqua"/>
          <w:sz w:val="22"/>
          <w:szCs w:val="22"/>
          <w:lang w:val="fr-FR"/>
        </w:rPr>
        <w:t xml:space="preserve">Il est extrêmement souhaitable que l’auditeur ait pris connaissance des Directives sur l’établissement des rapports financiers et la révision des comptes des Projets financés par </w:t>
      </w:r>
      <w:smartTag w:uri="urn:schemas-microsoft-com:office:smarttags" w:element="PersonName">
        <w:smartTagPr>
          <w:attr w:name="ProductID" w:val="la Banque"/>
        </w:smartTagPr>
        <w:r w:rsidRPr="005629B3">
          <w:rPr>
            <w:rFonts w:ascii="Book Antiqua" w:hAnsi="Book Antiqua"/>
            <w:sz w:val="22"/>
            <w:szCs w:val="22"/>
            <w:lang w:val="fr-FR"/>
          </w:rPr>
          <w:t>la Banque</w:t>
        </w:r>
      </w:smartTag>
      <w:r w:rsidRPr="005629B3">
        <w:rPr>
          <w:rFonts w:ascii="Book Antiqua" w:hAnsi="Book Antiqua"/>
          <w:sz w:val="22"/>
          <w:szCs w:val="22"/>
          <w:lang w:val="fr-FR"/>
        </w:rPr>
        <w:t xml:space="preserve">, qui récapitulent leurs exigences en matière de préparation de rapports financiers et </w:t>
      </w:r>
      <w:r w:rsidRPr="005629B3">
        <w:rPr>
          <w:rFonts w:ascii="Book Antiqua" w:hAnsi="Book Antiqua"/>
          <w:sz w:val="22"/>
          <w:szCs w:val="22"/>
          <w:lang w:val="fr-FR"/>
        </w:rPr>
        <w:lastRenderedPageBreak/>
        <w:t xml:space="preserve">d’audit. L’auditeur devrait aussi avoir pris connaissance du Manuel des décaissements de </w:t>
      </w:r>
      <w:smartTag w:uri="urn:schemas-microsoft-com:office:smarttags" w:element="PersonName">
        <w:smartTagPr>
          <w:attr w:name="ProductID" w:val="la Banque Mondiale."/>
        </w:smartTagPr>
        <w:r w:rsidRPr="005629B3">
          <w:rPr>
            <w:rFonts w:ascii="Book Antiqua" w:hAnsi="Book Antiqua"/>
            <w:sz w:val="22"/>
            <w:szCs w:val="22"/>
            <w:lang w:val="fr-FR"/>
          </w:rPr>
          <w:t>la Banque Mondiale.</w:t>
        </w:r>
      </w:smartTag>
    </w:p>
    <w:p w:rsidR="00A362CD" w:rsidRPr="00A362CD" w:rsidRDefault="00A362CD" w:rsidP="00A362CD">
      <w:pPr>
        <w:pStyle w:val="Titre"/>
        <w:spacing w:after="120"/>
        <w:jc w:val="left"/>
        <w:rPr>
          <w:rFonts w:ascii="Book Antiqua" w:hAnsi="Book Antiqua"/>
          <w:sz w:val="22"/>
          <w:szCs w:val="22"/>
          <w:u w:val="none"/>
        </w:rPr>
      </w:pPr>
    </w:p>
    <w:p w:rsidR="000215B4" w:rsidRPr="00093B7A" w:rsidRDefault="000215B4" w:rsidP="00093B7A">
      <w:pPr>
        <w:pStyle w:val="Titre"/>
        <w:numPr>
          <w:ilvl w:val="0"/>
          <w:numId w:val="1"/>
        </w:numPr>
        <w:spacing w:after="120"/>
        <w:ind w:left="0" w:hanging="426"/>
        <w:jc w:val="left"/>
        <w:rPr>
          <w:rFonts w:ascii="Book Antiqua" w:hAnsi="Book Antiqua"/>
          <w:sz w:val="22"/>
          <w:szCs w:val="22"/>
          <w:u w:val="none"/>
        </w:rPr>
      </w:pPr>
      <w:r w:rsidRPr="00A362CD">
        <w:rPr>
          <w:rFonts w:ascii="Book Antiqua" w:hAnsi="Book Antiqua"/>
          <w:sz w:val="22"/>
          <w:szCs w:val="22"/>
          <w:u w:val="none"/>
        </w:rPr>
        <w:t>P</w:t>
      </w:r>
      <w:r w:rsidR="00A362CD">
        <w:rPr>
          <w:rFonts w:ascii="Book Antiqua" w:hAnsi="Book Antiqua"/>
          <w:sz w:val="22"/>
          <w:szCs w:val="22"/>
          <w:u w:val="none"/>
        </w:rPr>
        <w:t>rofit du Consultant</w:t>
      </w:r>
      <w:r w:rsidRPr="00A362CD">
        <w:rPr>
          <w:rFonts w:ascii="Book Antiqua" w:hAnsi="Book Antiqua"/>
          <w:sz w:val="22"/>
          <w:szCs w:val="22"/>
          <w:u w:val="none"/>
        </w:rPr>
        <w:t xml:space="preserve"> : </w:t>
      </w: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 xml:space="preserve">Le Consultant doit être un Cabinet d’Audit et d’Expertise Comptable indépendant, faisant profession habituelle de réviser les comptes, régulièrement inscrit au Tableau d’un Ordre des </w:t>
      </w:r>
      <w:r w:rsidR="00093B7A" w:rsidRPr="005629B3">
        <w:rPr>
          <w:rFonts w:ascii="Book Antiqua" w:hAnsi="Book Antiqua"/>
          <w:sz w:val="22"/>
          <w:szCs w:val="22"/>
          <w:lang w:val="fr-FR"/>
        </w:rPr>
        <w:t>Expert</w:t>
      </w:r>
      <w:r w:rsidR="00093B7A">
        <w:rPr>
          <w:rFonts w:ascii="Book Antiqua" w:hAnsi="Book Antiqua"/>
          <w:sz w:val="22"/>
          <w:szCs w:val="22"/>
          <w:lang w:val="fr-FR"/>
        </w:rPr>
        <w:t>-</w:t>
      </w:r>
      <w:r w:rsidR="00093B7A" w:rsidRPr="005629B3">
        <w:rPr>
          <w:rFonts w:ascii="Book Antiqua" w:hAnsi="Book Antiqua"/>
          <w:sz w:val="22"/>
          <w:szCs w:val="22"/>
          <w:lang w:val="fr-FR"/>
        </w:rPr>
        <w:t>comptable</w:t>
      </w:r>
      <w:r w:rsidRPr="005629B3">
        <w:rPr>
          <w:rFonts w:ascii="Book Antiqua" w:hAnsi="Book Antiqua"/>
          <w:sz w:val="22"/>
          <w:szCs w:val="22"/>
          <w:lang w:val="fr-FR"/>
        </w:rPr>
        <w:t xml:space="preserve"> reconnu au plan international par l’IFAC ou la FIDEF, ayant une expérience confirmée en audit financier des projets de développement et acceptable par l’IDA.</w:t>
      </w: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 xml:space="preserve">L’Audit sera réalisé par une équipe pluridisciplinaire constituée d’experts ayant une solide expérience dans les domaines de l’audit financier et ayant une bonne connaissance des procédures de gestion fiduciaire et audits des projets financés par </w:t>
      </w:r>
      <w:smartTag w:uri="urn:schemas-microsoft-com:office:smarttags" w:element="PersonName">
        <w:smartTagPr>
          <w:attr w:name="ProductID" w:val="la Banque Mondiale."/>
        </w:smartTagPr>
        <w:r w:rsidRPr="005629B3">
          <w:rPr>
            <w:rFonts w:ascii="Book Antiqua" w:hAnsi="Book Antiqua"/>
            <w:sz w:val="22"/>
            <w:szCs w:val="22"/>
            <w:lang w:val="fr-FR"/>
          </w:rPr>
          <w:t>la Banque Mondiale.</w:t>
        </w:r>
      </w:smartTag>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Les compétences suivantes sont nécessaires pour la mission (Le personnel clé proposé devrait posséder au minimum l'expérience suivante) :</w:t>
      </w:r>
    </w:p>
    <w:p w:rsidR="000215B4" w:rsidRPr="005629B3" w:rsidRDefault="000215B4" w:rsidP="000215B4">
      <w:pPr>
        <w:numPr>
          <w:ilvl w:val="0"/>
          <w:numId w:val="9"/>
        </w:numPr>
        <w:tabs>
          <w:tab w:val="clear" w:pos="1134"/>
        </w:tabs>
        <w:ind w:left="360"/>
        <w:rPr>
          <w:rFonts w:ascii="Book Antiqua" w:hAnsi="Book Antiqua"/>
          <w:sz w:val="22"/>
          <w:szCs w:val="22"/>
          <w:lang w:val="fr-FR"/>
        </w:rPr>
      </w:pPr>
      <w:r w:rsidRPr="005629B3">
        <w:rPr>
          <w:rFonts w:ascii="Book Antiqua" w:hAnsi="Book Antiqua"/>
          <w:sz w:val="22"/>
          <w:szCs w:val="22"/>
          <w:lang w:val="fr-FR"/>
        </w:rPr>
        <w:t xml:space="preserve">un (01) expert-comptable diplômé (associé responsable disposant d'au moins </w:t>
      </w:r>
      <w:r w:rsidR="00AB72F1">
        <w:rPr>
          <w:rFonts w:ascii="Book Antiqua" w:hAnsi="Book Antiqua"/>
          <w:sz w:val="22"/>
          <w:szCs w:val="22"/>
          <w:lang w:val="fr-FR"/>
        </w:rPr>
        <w:t>quinze</w:t>
      </w:r>
      <w:r w:rsidRPr="005629B3">
        <w:rPr>
          <w:rFonts w:ascii="Book Antiqua" w:hAnsi="Book Antiqua"/>
          <w:sz w:val="22"/>
          <w:szCs w:val="22"/>
          <w:lang w:val="fr-FR"/>
        </w:rPr>
        <w:t>(</w:t>
      </w:r>
      <w:r w:rsidR="00AB72F1" w:rsidRPr="005629B3">
        <w:rPr>
          <w:rFonts w:ascii="Book Antiqua" w:hAnsi="Book Antiqua"/>
          <w:sz w:val="22"/>
          <w:szCs w:val="22"/>
          <w:lang w:val="fr-FR"/>
        </w:rPr>
        <w:t>1</w:t>
      </w:r>
      <w:r w:rsidR="00AB72F1">
        <w:rPr>
          <w:rFonts w:ascii="Book Antiqua" w:hAnsi="Book Antiqua"/>
          <w:sz w:val="22"/>
          <w:szCs w:val="22"/>
          <w:lang w:val="fr-FR"/>
        </w:rPr>
        <w:t>5</w:t>
      </w:r>
      <w:r w:rsidRPr="005629B3">
        <w:rPr>
          <w:rFonts w:ascii="Book Antiqua" w:hAnsi="Book Antiqua"/>
          <w:sz w:val="22"/>
          <w:szCs w:val="22"/>
          <w:lang w:val="fr-FR"/>
        </w:rPr>
        <w:t xml:space="preserve">) </w:t>
      </w:r>
      <w:r w:rsidR="006A721C" w:rsidRPr="005629B3">
        <w:rPr>
          <w:rFonts w:ascii="Book Antiqua" w:hAnsi="Book Antiqua"/>
          <w:sz w:val="22"/>
          <w:szCs w:val="22"/>
          <w:lang w:val="fr-FR"/>
        </w:rPr>
        <w:t>années d’expérience</w:t>
      </w:r>
      <w:r w:rsidR="00053E41" w:rsidRPr="00053E41">
        <w:rPr>
          <w:iCs/>
          <w:lang w:val="fr-FR"/>
        </w:rPr>
        <w:t>d’audit financier et ayant une bonne connaissance des procédures de gestion fiduciaire et audits des projets financés par la Banque Mondiale ou d'autres partenaires au développement</w:t>
      </w:r>
      <w:r w:rsidR="00AB72F1">
        <w:rPr>
          <w:rFonts w:ascii="Book Antiqua" w:hAnsi="Book Antiqua"/>
          <w:sz w:val="22"/>
          <w:szCs w:val="22"/>
          <w:lang w:val="fr-FR"/>
        </w:rPr>
        <w:t> </w:t>
      </w:r>
      <w:proofErr w:type="gramStart"/>
      <w:r w:rsidR="00AB72F1">
        <w:rPr>
          <w:rFonts w:ascii="Book Antiqua" w:hAnsi="Book Antiqua"/>
          <w:sz w:val="22"/>
          <w:szCs w:val="22"/>
          <w:lang w:val="fr-FR"/>
        </w:rPr>
        <w:t>;</w:t>
      </w:r>
      <w:r w:rsidRPr="005629B3">
        <w:rPr>
          <w:rFonts w:ascii="Book Antiqua" w:hAnsi="Book Antiqua"/>
          <w:sz w:val="22"/>
          <w:szCs w:val="22"/>
          <w:lang w:val="fr-FR"/>
        </w:rPr>
        <w:t>;</w:t>
      </w:r>
      <w:proofErr w:type="gramEnd"/>
    </w:p>
    <w:p w:rsidR="000215B4" w:rsidRPr="005629B3" w:rsidRDefault="000215B4" w:rsidP="006A721C">
      <w:pPr>
        <w:numPr>
          <w:ilvl w:val="0"/>
          <w:numId w:val="9"/>
        </w:numPr>
        <w:tabs>
          <w:tab w:val="clear" w:pos="1134"/>
        </w:tabs>
        <w:ind w:left="360"/>
        <w:rPr>
          <w:rFonts w:ascii="Book Antiqua" w:hAnsi="Book Antiqua"/>
          <w:sz w:val="22"/>
          <w:szCs w:val="22"/>
          <w:lang w:val="fr-FR"/>
        </w:rPr>
      </w:pPr>
      <w:r w:rsidRPr="005629B3">
        <w:rPr>
          <w:rFonts w:ascii="Book Antiqua" w:hAnsi="Book Antiqua"/>
          <w:sz w:val="22"/>
          <w:szCs w:val="22"/>
          <w:lang w:val="fr-FR"/>
        </w:rPr>
        <w:t xml:space="preserve">un  (01)  Directeur  de  mission  manager expert-comptable disposant  d'au  moins  </w:t>
      </w:r>
      <w:r w:rsidR="00053E41" w:rsidRPr="00053E41">
        <w:rPr>
          <w:iCs/>
          <w:lang w:val="fr-FR"/>
        </w:rPr>
        <w:t xml:space="preserve">dix (10) années </w:t>
      </w:r>
      <w:r w:rsidRPr="005629B3">
        <w:rPr>
          <w:rFonts w:ascii="Book Antiqua" w:hAnsi="Book Antiqua"/>
          <w:sz w:val="22"/>
          <w:szCs w:val="22"/>
          <w:lang w:val="fr-FR"/>
        </w:rPr>
        <w:t>d'expérience  en  audit de projets sur financements extérieurs financés par la Banque Mondiale ou d'autres partenaires au développement;</w:t>
      </w:r>
    </w:p>
    <w:p w:rsidR="000215B4" w:rsidRDefault="000215B4" w:rsidP="000215B4">
      <w:pPr>
        <w:numPr>
          <w:ilvl w:val="0"/>
          <w:numId w:val="9"/>
        </w:numPr>
        <w:tabs>
          <w:tab w:val="clear" w:pos="1134"/>
        </w:tabs>
        <w:ind w:left="360"/>
        <w:rPr>
          <w:rFonts w:ascii="Book Antiqua" w:hAnsi="Book Antiqua"/>
          <w:sz w:val="22"/>
          <w:szCs w:val="22"/>
          <w:lang w:val="fr-FR"/>
        </w:rPr>
      </w:pPr>
      <w:r w:rsidRPr="005629B3">
        <w:rPr>
          <w:rFonts w:ascii="Book Antiqua" w:hAnsi="Book Antiqua"/>
          <w:sz w:val="22"/>
          <w:szCs w:val="22"/>
          <w:lang w:val="fr-FR"/>
        </w:rPr>
        <w:t xml:space="preserve">Un Spécialiste en Passation des marchés disposant  d'au  moins trois (3) années d'expérience  dans ce domaine pour des projets sur financements extérieurs, par </w:t>
      </w:r>
      <w:smartTag w:uri="urn:schemas-microsoft-com:office:smarttags" w:element="PersonName">
        <w:smartTagPr>
          <w:attr w:name="ProductID" w:val="la Banque Mondiale"/>
        </w:smartTagPr>
        <w:r w:rsidRPr="005629B3">
          <w:rPr>
            <w:rFonts w:ascii="Book Antiqua" w:hAnsi="Book Antiqua"/>
            <w:sz w:val="22"/>
            <w:szCs w:val="22"/>
            <w:lang w:val="fr-FR"/>
          </w:rPr>
          <w:t>la Banque Mondiale</w:t>
        </w:r>
      </w:smartTag>
      <w:r w:rsidRPr="005629B3">
        <w:rPr>
          <w:rFonts w:ascii="Book Antiqua" w:hAnsi="Book Antiqua"/>
          <w:sz w:val="22"/>
          <w:szCs w:val="22"/>
          <w:lang w:val="fr-FR"/>
        </w:rPr>
        <w:t xml:space="preserve"> ou d'autres partenaires au développement;</w:t>
      </w:r>
    </w:p>
    <w:p w:rsidR="00AB72F1" w:rsidRDefault="00AB72F1" w:rsidP="00AB72F1">
      <w:pPr>
        <w:pStyle w:val="Paragraphedeliste"/>
        <w:numPr>
          <w:ilvl w:val="0"/>
          <w:numId w:val="9"/>
        </w:numPr>
        <w:contextualSpacing w:val="0"/>
        <w:jc w:val="both"/>
        <w:rPr>
          <w:iCs/>
        </w:rPr>
      </w:pPr>
      <w:r w:rsidRPr="007B466B">
        <w:rPr>
          <w:iCs/>
        </w:rPr>
        <w:t xml:space="preserve">un </w:t>
      </w:r>
      <w:r>
        <w:rPr>
          <w:iCs/>
        </w:rPr>
        <w:t>(01) A</w:t>
      </w:r>
      <w:r w:rsidRPr="007B466B">
        <w:rPr>
          <w:iCs/>
        </w:rPr>
        <w:t>uditeur senior, disposant au moin</w:t>
      </w:r>
      <w:r>
        <w:rPr>
          <w:iCs/>
        </w:rPr>
        <w:t>s cinq (05) années d'expérience</w:t>
      </w:r>
      <w:r w:rsidRPr="007B466B">
        <w:rPr>
          <w:iCs/>
        </w:rPr>
        <w:t xml:space="preserve"> en  audit de </w:t>
      </w:r>
      <w:r>
        <w:rPr>
          <w:iCs/>
        </w:rPr>
        <w:t>Projet</w:t>
      </w:r>
      <w:r w:rsidRPr="007B466B">
        <w:rPr>
          <w:iCs/>
        </w:rPr>
        <w:t xml:space="preserve">s financés par la </w:t>
      </w:r>
      <w:r>
        <w:rPr>
          <w:iCs/>
        </w:rPr>
        <w:t>B</w:t>
      </w:r>
      <w:r w:rsidRPr="007B466B">
        <w:rPr>
          <w:iCs/>
        </w:rPr>
        <w:t xml:space="preserve">anque </w:t>
      </w:r>
      <w:r>
        <w:rPr>
          <w:iCs/>
        </w:rPr>
        <w:t>M</w:t>
      </w:r>
      <w:r w:rsidRPr="007B466B">
        <w:rPr>
          <w:iCs/>
        </w:rPr>
        <w:t>ondiale ou d'autres partenaires au développement ;</w:t>
      </w:r>
    </w:p>
    <w:p w:rsidR="000215B4" w:rsidRPr="005629B3" w:rsidRDefault="00AB72F1" w:rsidP="000215B4">
      <w:pPr>
        <w:numPr>
          <w:ilvl w:val="0"/>
          <w:numId w:val="9"/>
        </w:numPr>
        <w:tabs>
          <w:tab w:val="clear" w:pos="1134"/>
        </w:tabs>
        <w:ind w:left="360"/>
        <w:rPr>
          <w:rFonts w:ascii="Book Antiqua" w:hAnsi="Book Antiqua"/>
          <w:sz w:val="22"/>
          <w:szCs w:val="22"/>
          <w:lang w:val="fr-FR"/>
        </w:rPr>
      </w:pPr>
      <w:r>
        <w:rPr>
          <w:rFonts w:ascii="Book Antiqua" w:hAnsi="Book Antiqua"/>
          <w:sz w:val="22"/>
          <w:szCs w:val="22"/>
          <w:lang w:val="fr-FR"/>
        </w:rPr>
        <w:t>un</w:t>
      </w:r>
      <w:r w:rsidR="000215B4" w:rsidRPr="005629B3">
        <w:rPr>
          <w:rFonts w:ascii="Book Antiqua" w:hAnsi="Book Antiqua"/>
          <w:sz w:val="22"/>
          <w:szCs w:val="22"/>
          <w:lang w:val="fr-FR"/>
        </w:rPr>
        <w:t>(</w:t>
      </w:r>
      <w:r w:rsidRPr="005629B3">
        <w:rPr>
          <w:rFonts w:ascii="Book Antiqua" w:hAnsi="Book Antiqua"/>
          <w:sz w:val="22"/>
          <w:szCs w:val="22"/>
          <w:lang w:val="fr-FR"/>
        </w:rPr>
        <w:t>0</w:t>
      </w:r>
      <w:r>
        <w:rPr>
          <w:rFonts w:ascii="Book Antiqua" w:hAnsi="Book Antiqua"/>
          <w:sz w:val="22"/>
          <w:szCs w:val="22"/>
          <w:lang w:val="fr-FR"/>
        </w:rPr>
        <w:t>1</w:t>
      </w:r>
      <w:r w:rsidR="000215B4" w:rsidRPr="005629B3">
        <w:rPr>
          <w:rFonts w:ascii="Book Antiqua" w:hAnsi="Book Antiqua"/>
          <w:sz w:val="22"/>
          <w:szCs w:val="22"/>
          <w:lang w:val="fr-FR"/>
        </w:rPr>
        <w:t>) auditeur</w:t>
      </w:r>
      <w:r>
        <w:rPr>
          <w:rFonts w:ascii="Book Antiqua" w:hAnsi="Book Antiqua"/>
          <w:sz w:val="22"/>
          <w:szCs w:val="22"/>
          <w:lang w:val="fr-FR"/>
        </w:rPr>
        <w:t>assistant</w:t>
      </w:r>
      <w:r w:rsidR="000215B4" w:rsidRPr="005629B3">
        <w:rPr>
          <w:rFonts w:ascii="Book Antiqua" w:hAnsi="Book Antiqua"/>
          <w:sz w:val="22"/>
          <w:szCs w:val="22"/>
          <w:lang w:val="fr-FR"/>
        </w:rPr>
        <w:t xml:space="preserve"> disposant d'au moins trois (03) années d'expérience en cabinet, dans le domaine de l'audit des projets sur financements extérieurs, par la Banque Mondiale ou d'autres partenaires au développement.</w:t>
      </w:r>
    </w:p>
    <w:p w:rsidR="000215B4" w:rsidRPr="005629B3" w:rsidRDefault="000215B4" w:rsidP="000215B4">
      <w:pPr>
        <w:ind w:left="360"/>
        <w:rPr>
          <w:rFonts w:ascii="Book Antiqua" w:hAnsi="Book Antiqua"/>
          <w:sz w:val="22"/>
          <w:szCs w:val="22"/>
          <w:lang w:val="fr-FR"/>
        </w:rPr>
      </w:pPr>
    </w:p>
    <w:p w:rsidR="000215B4" w:rsidRPr="005629B3" w:rsidRDefault="000215B4" w:rsidP="000215B4">
      <w:pPr>
        <w:rPr>
          <w:rFonts w:ascii="Book Antiqua" w:hAnsi="Book Antiqua"/>
          <w:sz w:val="22"/>
          <w:szCs w:val="22"/>
          <w:lang w:val="fr-FR"/>
        </w:rPr>
      </w:pPr>
      <w:r w:rsidRPr="005629B3">
        <w:rPr>
          <w:rFonts w:ascii="Book Antiqua" w:hAnsi="Book Antiqua"/>
          <w:sz w:val="22"/>
          <w:szCs w:val="22"/>
          <w:lang w:val="fr-FR"/>
        </w:rPr>
        <w:t>L’associé signataire de l’opinion d’audit doit être un Expert-comptable diplômé et régulièrement inscrit dans un ordre professionnel d’un pays membre de l’IDA.</w:t>
      </w:r>
    </w:p>
    <w:p w:rsidR="000215B4" w:rsidRPr="005629B3" w:rsidRDefault="000215B4" w:rsidP="000215B4">
      <w:pPr>
        <w:rPr>
          <w:rFonts w:ascii="Book Antiqua" w:hAnsi="Book Antiqua"/>
          <w:sz w:val="22"/>
          <w:szCs w:val="22"/>
          <w:lang w:val="fr-FR"/>
        </w:rPr>
      </w:pPr>
    </w:p>
    <w:p w:rsidR="000215B4" w:rsidRPr="00093B7A" w:rsidRDefault="000215B4" w:rsidP="00093B7A">
      <w:pPr>
        <w:pStyle w:val="Titre"/>
        <w:numPr>
          <w:ilvl w:val="0"/>
          <w:numId w:val="1"/>
        </w:numPr>
        <w:spacing w:after="120"/>
        <w:ind w:left="0" w:hanging="426"/>
        <w:jc w:val="left"/>
        <w:rPr>
          <w:rFonts w:ascii="Book Antiqua" w:hAnsi="Book Antiqua"/>
          <w:sz w:val="22"/>
          <w:szCs w:val="22"/>
          <w:u w:val="none"/>
        </w:rPr>
      </w:pPr>
      <w:r w:rsidRPr="00A362CD">
        <w:rPr>
          <w:rFonts w:ascii="Book Antiqua" w:hAnsi="Book Antiqua"/>
          <w:sz w:val="22"/>
          <w:szCs w:val="22"/>
          <w:u w:val="none"/>
        </w:rPr>
        <w:t>C</w:t>
      </w:r>
      <w:r w:rsidR="00A362CD">
        <w:rPr>
          <w:rFonts w:ascii="Book Antiqua" w:hAnsi="Book Antiqua"/>
          <w:sz w:val="22"/>
          <w:szCs w:val="22"/>
          <w:u w:val="none"/>
        </w:rPr>
        <w:t>alendrier de la Mission</w:t>
      </w:r>
    </w:p>
    <w:p w:rsidR="000215B4" w:rsidRPr="005629B3" w:rsidRDefault="000215B4" w:rsidP="005629B3">
      <w:pPr>
        <w:ind w:left="360"/>
        <w:rPr>
          <w:rFonts w:ascii="Book Antiqua" w:hAnsi="Book Antiqua"/>
          <w:sz w:val="22"/>
          <w:szCs w:val="22"/>
          <w:lang w:val="fr-FR"/>
        </w:rPr>
      </w:pPr>
      <w:r w:rsidRPr="005629B3">
        <w:rPr>
          <w:rFonts w:ascii="Book Antiqua" w:hAnsi="Book Antiqua"/>
          <w:sz w:val="22"/>
          <w:szCs w:val="22"/>
          <w:lang w:val="fr-FR"/>
        </w:rPr>
        <w:t>Les travaux de l’audit porteront sur les exercices clos au 31décembre des années 20</w:t>
      </w:r>
      <w:r w:rsidR="000A5254">
        <w:rPr>
          <w:rFonts w:ascii="Book Antiqua" w:hAnsi="Book Antiqua"/>
          <w:sz w:val="22"/>
          <w:szCs w:val="22"/>
          <w:lang w:val="fr-FR"/>
        </w:rPr>
        <w:t>21</w:t>
      </w:r>
      <w:r w:rsidRPr="005629B3">
        <w:rPr>
          <w:rFonts w:ascii="Book Antiqua" w:hAnsi="Book Antiqua"/>
          <w:sz w:val="22"/>
          <w:szCs w:val="22"/>
          <w:lang w:val="fr-FR"/>
        </w:rPr>
        <w:t>,</w:t>
      </w:r>
      <w:r w:rsidR="00BE3B57" w:rsidRPr="005629B3">
        <w:rPr>
          <w:rFonts w:ascii="Book Antiqua" w:hAnsi="Book Antiqua"/>
          <w:sz w:val="22"/>
          <w:szCs w:val="22"/>
          <w:lang w:val="fr-FR"/>
        </w:rPr>
        <w:t xml:space="preserve">  20</w:t>
      </w:r>
      <w:r w:rsidR="000A5254">
        <w:rPr>
          <w:rFonts w:ascii="Book Antiqua" w:hAnsi="Book Antiqua"/>
          <w:sz w:val="22"/>
          <w:szCs w:val="22"/>
          <w:lang w:val="fr-FR"/>
        </w:rPr>
        <w:t>22</w:t>
      </w:r>
      <w:r w:rsidRPr="005629B3">
        <w:rPr>
          <w:rFonts w:ascii="Book Antiqua" w:hAnsi="Book Antiqua"/>
          <w:sz w:val="22"/>
          <w:szCs w:val="22"/>
          <w:lang w:val="fr-FR"/>
        </w:rPr>
        <w:t>et 20</w:t>
      </w:r>
      <w:r w:rsidR="000A5254">
        <w:rPr>
          <w:rFonts w:ascii="Book Antiqua" w:hAnsi="Book Antiqua"/>
          <w:sz w:val="22"/>
          <w:szCs w:val="22"/>
          <w:lang w:val="fr-FR"/>
        </w:rPr>
        <w:t>23</w:t>
      </w:r>
      <w:r w:rsidRPr="005629B3">
        <w:rPr>
          <w:rFonts w:ascii="Book Antiqua" w:hAnsi="Book Antiqua"/>
          <w:sz w:val="22"/>
          <w:szCs w:val="22"/>
          <w:lang w:val="fr-FR"/>
        </w:rPr>
        <w:t>. .</w:t>
      </w:r>
    </w:p>
    <w:p w:rsidR="000215B4" w:rsidRPr="005629B3" w:rsidRDefault="000215B4" w:rsidP="000215B4">
      <w:pPr>
        <w:ind w:left="360"/>
        <w:rPr>
          <w:rFonts w:ascii="Book Antiqua" w:hAnsi="Book Antiqua"/>
          <w:sz w:val="22"/>
          <w:szCs w:val="22"/>
          <w:lang w:val="fr-FR"/>
        </w:rPr>
      </w:pPr>
      <w:r w:rsidRPr="005629B3">
        <w:rPr>
          <w:rFonts w:ascii="Book Antiqua" w:hAnsi="Book Antiqua"/>
          <w:sz w:val="22"/>
          <w:szCs w:val="22"/>
          <w:lang w:val="fr-FR"/>
        </w:rPr>
        <w:t>Les dates de démarrage des missions seront arrêtées lors de la négociation avec le consultant retenu.</w:t>
      </w:r>
    </w:p>
    <w:p w:rsidR="000215B4" w:rsidRPr="005629B3" w:rsidRDefault="000215B4" w:rsidP="000215B4">
      <w:pPr>
        <w:ind w:left="360"/>
        <w:rPr>
          <w:rFonts w:ascii="Book Antiqua" w:hAnsi="Book Antiqua"/>
          <w:sz w:val="22"/>
          <w:szCs w:val="22"/>
          <w:lang w:val="fr-FR"/>
        </w:rPr>
      </w:pPr>
    </w:p>
    <w:p w:rsidR="000215B4" w:rsidRPr="00BA1D3D" w:rsidRDefault="00BA1D3D" w:rsidP="00BA1D3D">
      <w:pPr>
        <w:pStyle w:val="Titre"/>
        <w:numPr>
          <w:ilvl w:val="0"/>
          <w:numId w:val="1"/>
        </w:numPr>
        <w:spacing w:after="120"/>
        <w:ind w:left="0" w:hanging="426"/>
        <w:jc w:val="left"/>
        <w:rPr>
          <w:rFonts w:ascii="Book Antiqua" w:hAnsi="Book Antiqua"/>
          <w:sz w:val="22"/>
          <w:szCs w:val="22"/>
          <w:u w:val="none"/>
        </w:rPr>
      </w:pPr>
      <w:r w:rsidRPr="00BA1D3D">
        <w:rPr>
          <w:rFonts w:ascii="Book Antiqua" w:hAnsi="Book Antiqua"/>
          <w:sz w:val="22"/>
          <w:szCs w:val="22"/>
          <w:u w:val="none"/>
        </w:rPr>
        <w:t>Mode de Sélection du consultant</w:t>
      </w:r>
    </w:p>
    <w:p w:rsidR="00BA1D3D" w:rsidRPr="00BA1D3D" w:rsidRDefault="00BA1D3D" w:rsidP="00EB622B">
      <w:pPr>
        <w:rPr>
          <w:rFonts w:asciiTheme="majorBidi" w:hAnsiTheme="majorBidi" w:cstheme="majorBidi"/>
          <w:spacing w:val="-2"/>
          <w:shd w:val="clear" w:color="auto" w:fill="FFFFFF" w:themeFill="background1"/>
          <w:lang w:val="fr-FR"/>
        </w:rPr>
      </w:pPr>
      <w:r>
        <w:rPr>
          <w:rFonts w:ascii="Book Antiqua" w:hAnsi="Book Antiqua"/>
          <w:sz w:val="22"/>
          <w:szCs w:val="22"/>
          <w:lang w:val="fr-FR"/>
        </w:rPr>
        <w:t xml:space="preserve">Le consultant sera recruté sur la base de la </w:t>
      </w:r>
      <w:r w:rsidR="000A618F">
        <w:rPr>
          <w:rFonts w:ascii="Book Antiqua" w:hAnsi="Book Antiqua"/>
          <w:sz w:val="22"/>
          <w:szCs w:val="22"/>
          <w:lang w:val="fr-FR"/>
        </w:rPr>
        <w:t>méthode Sélection au Moindre Cout (SMC)</w:t>
      </w:r>
      <w:r>
        <w:rPr>
          <w:rFonts w:ascii="Book Antiqua" w:hAnsi="Book Antiqua"/>
          <w:sz w:val="22"/>
          <w:szCs w:val="22"/>
          <w:lang w:val="fr-FR"/>
        </w:rPr>
        <w:t xml:space="preserve"> en conformité avec les directives</w:t>
      </w:r>
      <w:r w:rsidRPr="00BA1D3D">
        <w:rPr>
          <w:rFonts w:ascii="Book Antiqua" w:hAnsi="Book Antiqua"/>
          <w:sz w:val="22"/>
          <w:szCs w:val="22"/>
          <w:lang w:val="fr-FR"/>
        </w:rPr>
        <w:t xml:space="preserve"> relatives à la passation des marchés financés par les prêts de la BIRD et les crédits de l’IDA, version 2011, actualisé en 2014</w:t>
      </w:r>
      <w:r w:rsidR="00EB622B">
        <w:rPr>
          <w:rFonts w:ascii="Book Antiqua" w:hAnsi="Book Antiqua"/>
          <w:sz w:val="22"/>
          <w:szCs w:val="22"/>
          <w:lang w:val="fr-FR"/>
        </w:rPr>
        <w:t xml:space="preserve"> et </w:t>
      </w:r>
      <w:r>
        <w:rPr>
          <w:rFonts w:asciiTheme="majorBidi" w:hAnsiTheme="majorBidi" w:cstheme="majorBidi"/>
          <w:spacing w:val="-2"/>
          <w:shd w:val="clear" w:color="auto" w:fill="FFFFFF" w:themeFill="background1"/>
          <w:lang w:val="fr-FR"/>
        </w:rPr>
        <w:t>t le contrat sera un contrat à prix forfaitaire.</w:t>
      </w:r>
    </w:p>
    <w:sectPr w:rsidR="00BA1D3D" w:rsidRPr="00BA1D3D" w:rsidSect="00053E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1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5E1"/>
    <w:multiLevelType w:val="hybridMultilevel"/>
    <w:tmpl w:val="D0E68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62158"/>
    <w:multiLevelType w:val="hybridMultilevel"/>
    <w:tmpl w:val="718ECCC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97D2DD2"/>
    <w:multiLevelType w:val="hybridMultilevel"/>
    <w:tmpl w:val="D4903AB8"/>
    <w:lvl w:ilvl="0" w:tplc="CC265EA8">
      <w:start w:val="1"/>
      <w:numFmt w:val="upperRoman"/>
      <w:lvlText w:val="%1."/>
      <w:lvlJc w:val="left"/>
      <w:pPr>
        <w:ind w:left="720" w:hanging="720"/>
      </w:pPr>
      <w:rPr>
        <w:rFonts w:hint="default"/>
      </w:rPr>
    </w:lvl>
    <w:lvl w:ilvl="1" w:tplc="1F3C9B9C">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FE136C"/>
    <w:multiLevelType w:val="hybridMultilevel"/>
    <w:tmpl w:val="43209BC6"/>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BA31506"/>
    <w:multiLevelType w:val="hybridMultilevel"/>
    <w:tmpl w:val="87F6850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1511055"/>
    <w:multiLevelType w:val="hybridMultilevel"/>
    <w:tmpl w:val="9AEA82E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ACD6624"/>
    <w:multiLevelType w:val="hybridMultilevel"/>
    <w:tmpl w:val="83584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CE1DB2"/>
    <w:multiLevelType w:val="hybridMultilevel"/>
    <w:tmpl w:val="F326A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470A7A"/>
    <w:multiLevelType w:val="hybridMultilevel"/>
    <w:tmpl w:val="21E2260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368571C"/>
    <w:multiLevelType w:val="hybridMultilevel"/>
    <w:tmpl w:val="7F80B586"/>
    <w:lvl w:ilvl="0" w:tplc="377629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942EB"/>
    <w:multiLevelType w:val="hybridMultilevel"/>
    <w:tmpl w:val="0C2AE79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11745C2"/>
    <w:multiLevelType w:val="hybridMultilevel"/>
    <w:tmpl w:val="5E8C99B2"/>
    <w:lvl w:ilvl="0" w:tplc="787CAB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2"/>
  </w:num>
  <w:num w:numId="2">
    <w:abstractNumId w:val="3"/>
  </w:num>
  <w:num w:numId="3">
    <w:abstractNumId w:val="11"/>
  </w:num>
  <w:num w:numId="4">
    <w:abstractNumId w:val="5"/>
  </w:num>
  <w:num w:numId="5">
    <w:abstractNumId w:val="10"/>
  </w:num>
  <w:num w:numId="6">
    <w:abstractNumId w:val="1"/>
  </w:num>
  <w:num w:numId="7">
    <w:abstractNumId w:val="8"/>
  </w:num>
  <w:num w:numId="8">
    <w:abstractNumId w:val="7"/>
  </w:num>
  <w:num w:numId="9">
    <w:abstractNumId w:val="6"/>
  </w:num>
  <w:num w:numId="10">
    <w:abstractNumId w:val="4"/>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15B4"/>
    <w:rsid w:val="000215B4"/>
    <w:rsid w:val="00053E41"/>
    <w:rsid w:val="00093B7A"/>
    <w:rsid w:val="000A5254"/>
    <w:rsid w:val="000A618F"/>
    <w:rsid w:val="000B35E2"/>
    <w:rsid w:val="00153532"/>
    <w:rsid w:val="00171C2B"/>
    <w:rsid w:val="00184FBE"/>
    <w:rsid w:val="001D4FA9"/>
    <w:rsid w:val="002D2D79"/>
    <w:rsid w:val="00405A9F"/>
    <w:rsid w:val="004D5D07"/>
    <w:rsid w:val="005629B3"/>
    <w:rsid w:val="006278F8"/>
    <w:rsid w:val="006A52F4"/>
    <w:rsid w:val="006A721C"/>
    <w:rsid w:val="00790C5D"/>
    <w:rsid w:val="0087565C"/>
    <w:rsid w:val="0089433F"/>
    <w:rsid w:val="00912CCB"/>
    <w:rsid w:val="009B46EB"/>
    <w:rsid w:val="00A362CD"/>
    <w:rsid w:val="00AB72F1"/>
    <w:rsid w:val="00B00ABF"/>
    <w:rsid w:val="00B57F58"/>
    <w:rsid w:val="00B94D87"/>
    <w:rsid w:val="00BA1D3D"/>
    <w:rsid w:val="00BD3829"/>
    <w:rsid w:val="00BE3B57"/>
    <w:rsid w:val="00C319A1"/>
    <w:rsid w:val="00C51180"/>
    <w:rsid w:val="00C71775"/>
    <w:rsid w:val="00D04987"/>
    <w:rsid w:val="00E45AA2"/>
    <w:rsid w:val="00E7359B"/>
    <w:rsid w:val="00EB622B"/>
    <w:rsid w:val="00FE64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CI-Normal"/>
    <w:qFormat/>
    <w:rsid w:val="000215B4"/>
    <w:pPr>
      <w:tabs>
        <w:tab w:val="left" w:pos="1134"/>
      </w:tabs>
      <w:spacing w:after="0" w:line="240" w:lineRule="auto"/>
      <w:jc w:val="both"/>
    </w:pPr>
    <w:rPr>
      <w:rFonts w:ascii="Times New Roman" w:eastAsia="Times New Roman" w:hAnsi="Times New Roman" w:cs="Times New Roman"/>
      <w:sz w:val="23"/>
      <w:szCs w:val="20"/>
      <w:lang w:val="en-GB" w:eastAsia="en-GB"/>
    </w:rPr>
  </w:style>
  <w:style w:type="paragraph" w:styleId="Titre6">
    <w:name w:val="heading 6"/>
    <w:basedOn w:val="Normal"/>
    <w:next w:val="Normal"/>
    <w:link w:val="Titre6Car"/>
    <w:qFormat/>
    <w:rsid w:val="000215B4"/>
    <w:pPr>
      <w:tabs>
        <w:tab w:val="clear" w:pos="1134"/>
      </w:tabs>
      <w:overflowPunct w:val="0"/>
      <w:autoSpaceDE w:val="0"/>
      <w:autoSpaceDN w:val="0"/>
      <w:adjustRightInd w:val="0"/>
      <w:spacing w:before="240" w:after="60"/>
      <w:jc w:val="left"/>
      <w:textAlignment w:val="baseline"/>
      <w:outlineLvl w:val="5"/>
    </w:pPr>
    <w:rPr>
      <w:rFonts w:ascii="Calibri" w:hAnsi="Calibri"/>
      <w:b/>
      <w:bCs/>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215B4"/>
    <w:pPr>
      <w:tabs>
        <w:tab w:val="clear" w:pos="1134"/>
      </w:tabs>
      <w:jc w:val="center"/>
    </w:pPr>
    <w:rPr>
      <w:b/>
      <w:sz w:val="24"/>
      <w:u w:val="single"/>
      <w:lang w:val="fr-FR" w:eastAsia="fr-FR"/>
    </w:rPr>
  </w:style>
  <w:style w:type="character" w:customStyle="1" w:styleId="TitreCar">
    <w:name w:val="Titre Car"/>
    <w:basedOn w:val="Policepardfaut"/>
    <w:link w:val="Titre"/>
    <w:rsid w:val="000215B4"/>
    <w:rPr>
      <w:rFonts w:ascii="Times New Roman" w:eastAsia="Times New Roman" w:hAnsi="Times New Roman" w:cs="Times New Roman"/>
      <w:b/>
      <w:sz w:val="24"/>
      <w:szCs w:val="20"/>
      <w:u w:val="single"/>
      <w:lang w:eastAsia="fr-FR"/>
    </w:rPr>
  </w:style>
  <w:style w:type="paragraph" w:styleId="Retraitcorpsdetexte2">
    <w:name w:val="Body Text Indent 2"/>
    <w:basedOn w:val="Normal"/>
    <w:link w:val="Retraitcorpsdetexte2Car"/>
    <w:uiPriority w:val="99"/>
    <w:rsid w:val="000215B4"/>
    <w:pPr>
      <w:tabs>
        <w:tab w:val="clear" w:pos="1134"/>
      </w:tabs>
      <w:ind w:left="720" w:hanging="720"/>
      <w:jc w:val="left"/>
    </w:pPr>
    <w:rPr>
      <w:rFonts w:eastAsiaTheme="minorEastAsia"/>
      <w:sz w:val="24"/>
      <w:lang w:val="fr-FR" w:eastAsia="en-US"/>
    </w:rPr>
  </w:style>
  <w:style w:type="character" w:customStyle="1" w:styleId="Retraitcorpsdetexte2Car">
    <w:name w:val="Retrait corps de texte 2 Car"/>
    <w:basedOn w:val="Policepardfaut"/>
    <w:link w:val="Retraitcorpsdetexte2"/>
    <w:uiPriority w:val="99"/>
    <w:rsid w:val="000215B4"/>
    <w:rPr>
      <w:rFonts w:ascii="Times New Roman" w:eastAsiaTheme="minorEastAsia" w:hAnsi="Times New Roman" w:cs="Times New Roman"/>
      <w:sz w:val="24"/>
      <w:szCs w:val="20"/>
    </w:rPr>
  </w:style>
  <w:style w:type="character" w:styleId="MachinecrireHTML">
    <w:name w:val="HTML Typewriter"/>
    <w:rsid w:val="000215B4"/>
    <w:rPr>
      <w:rFonts w:ascii="Courier New" w:hAnsi="Courier New" w:cs="Courier New"/>
      <w:sz w:val="20"/>
      <w:szCs w:val="20"/>
    </w:rPr>
  </w:style>
  <w:style w:type="character" w:customStyle="1" w:styleId="Titre6Car">
    <w:name w:val="Titre 6 Car"/>
    <w:basedOn w:val="Policepardfaut"/>
    <w:link w:val="Titre6"/>
    <w:rsid w:val="000215B4"/>
    <w:rPr>
      <w:rFonts w:ascii="Calibri" w:eastAsia="Times New Roman" w:hAnsi="Calibri" w:cs="Times New Roman"/>
      <w:b/>
      <w:bCs/>
    </w:rPr>
  </w:style>
  <w:style w:type="character" w:styleId="Marquedecommentaire">
    <w:name w:val="annotation reference"/>
    <w:basedOn w:val="Policepardfaut"/>
    <w:uiPriority w:val="99"/>
    <w:semiHidden/>
    <w:unhideWhenUsed/>
    <w:rsid w:val="00153532"/>
    <w:rPr>
      <w:sz w:val="16"/>
      <w:szCs w:val="16"/>
    </w:rPr>
  </w:style>
  <w:style w:type="paragraph" w:styleId="Commentaire">
    <w:name w:val="annotation text"/>
    <w:basedOn w:val="Normal"/>
    <w:link w:val="CommentaireCar"/>
    <w:uiPriority w:val="99"/>
    <w:semiHidden/>
    <w:unhideWhenUsed/>
    <w:rsid w:val="00153532"/>
    <w:rPr>
      <w:sz w:val="20"/>
    </w:rPr>
  </w:style>
  <w:style w:type="character" w:customStyle="1" w:styleId="CommentaireCar">
    <w:name w:val="Commentaire Car"/>
    <w:basedOn w:val="Policepardfaut"/>
    <w:link w:val="Commentaire"/>
    <w:uiPriority w:val="99"/>
    <w:semiHidden/>
    <w:rsid w:val="00153532"/>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153532"/>
    <w:rPr>
      <w:b/>
      <w:bCs/>
    </w:rPr>
  </w:style>
  <w:style w:type="character" w:customStyle="1" w:styleId="ObjetducommentaireCar">
    <w:name w:val="Objet du commentaire Car"/>
    <w:basedOn w:val="CommentaireCar"/>
    <w:link w:val="Objetducommentaire"/>
    <w:uiPriority w:val="99"/>
    <w:semiHidden/>
    <w:rsid w:val="00153532"/>
    <w:rPr>
      <w:rFonts w:ascii="Times New Roman" w:eastAsia="Times New Roman" w:hAnsi="Times New Roman" w:cs="Times New Roman"/>
      <w:b/>
      <w:bCs/>
      <w:sz w:val="20"/>
      <w:szCs w:val="20"/>
      <w:lang w:val="en-GB" w:eastAsia="en-GB"/>
    </w:rPr>
  </w:style>
  <w:style w:type="paragraph" w:styleId="Textedebulles">
    <w:name w:val="Balloon Text"/>
    <w:basedOn w:val="Normal"/>
    <w:link w:val="TextedebullesCar"/>
    <w:uiPriority w:val="99"/>
    <w:semiHidden/>
    <w:unhideWhenUsed/>
    <w:rsid w:val="001535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3532"/>
    <w:rPr>
      <w:rFonts w:ascii="Segoe UI" w:eastAsia="Times New Roman" w:hAnsi="Segoe UI" w:cs="Segoe UI"/>
      <w:sz w:val="18"/>
      <w:szCs w:val="18"/>
      <w:lang w:val="en-GB" w:eastAsia="en-GB"/>
    </w:rPr>
  </w:style>
  <w:style w:type="paragraph" w:styleId="Paragraphedeliste">
    <w:name w:val="List Paragraph"/>
    <w:aliases w:val="Bullets Description,Bullets,Medium Grid 1 - Accent 21,References,Colorful List - Accent 11,Liste 1,List Paragraph nowy,Numbered List Paragraph,List Paragraph (numbered (a)),RM1"/>
    <w:basedOn w:val="Normal"/>
    <w:link w:val="ParagraphedelisteCar"/>
    <w:uiPriority w:val="34"/>
    <w:qFormat/>
    <w:rsid w:val="00AB72F1"/>
    <w:pPr>
      <w:tabs>
        <w:tab w:val="clear" w:pos="1134"/>
      </w:tabs>
      <w:ind w:left="720"/>
      <w:contextualSpacing/>
      <w:jc w:val="left"/>
    </w:pPr>
    <w:rPr>
      <w:sz w:val="24"/>
      <w:szCs w:val="24"/>
      <w:lang w:val="fr-FR" w:eastAsia="fr-FR"/>
    </w:rPr>
  </w:style>
  <w:style w:type="character" w:customStyle="1" w:styleId="ParagraphedelisteCar">
    <w:name w:val="Paragraphe de liste Car"/>
    <w:aliases w:val="Bullets Description Car,Bullets Car,Medium Grid 1 - Accent 21 Car,References Car,Colorful List - Accent 11 Car,Liste 1 Car,List Paragraph nowy Car,Numbered List Paragraph Car,List Paragraph (numbered (a)) Car,RM1 Car"/>
    <w:link w:val="Paragraphedeliste"/>
    <w:uiPriority w:val="34"/>
    <w:rsid w:val="00AB72F1"/>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2C34-7515-422B-BF61-134193FF1961}">
  <ds:schemaRefs>
    <ds:schemaRef ds:uri="http://schemas.microsoft.com/sharepoint/v3/contenttype/forms"/>
  </ds:schemaRefs>
</ds:datastoreItem>
</file>

<file path=customXml/itemProps2.xml><?xml version="1.0" encoding="utf-8"?>
<ds:datastoreItem xmlns:ds="http://schemas.openxmlformats.org/officeDocument/2006/customXml" ds:itemID="{174A1D41-9EFB-464D-A13C-2E1B1F67F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53B9EB-5F2E-4ECB-B232-043312188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2191</Words>
  <Characters>12053</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2021-10-27T13:30:00Z</dcterms:created>
  <dcterms:modified xsi:type="dcterms:W3CDTF">2021-10-27T13:30:00Z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