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361"/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6"/>
        <w:gridCol w:w="3280"/>
        <w:gridCol w:w="3345"/>
      </w:tblGrid>
      <w:tr w:rsidR="008E7CEB" w:rsidRPr="00F601C3" w:rsidTr="002A6C36">
        <w:trPr>
          <w:trHeight w:val="196"/>
        </w:trPr>
        <w:tc>
          <w:tcPr>
            <w:tcW w:w="4616" w:type="dxa"/>
            <w:shd w:val="clear" w:color="auto" w:fill="auto"/>
            <w:vAlign w:val="center"/>
          </w:tcPr>
          <w:p w:rsidR="008E7CEB" w:rsidRPr="003F573B" w:rsidRDefault="00ED3A46" w:rsidP="003F573B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Ministère de l’Agriculture</w:t>
            </w:r>
          </w:p>
          <w:p w:rsidR="008E7CEB" w:rsidRPr="003F573B" w:rsidRDefault="008E7CEB" w:rsidP="003F573B">
            <w:pPr>
              <w:spacing w:before="100" w:beforeAutospacing="1"/>
              <w:ind w:left="-108" w:right="-1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F573B">
              <w:rPr>
                <w:rFonts w:asciiTheme="majorBidi" w:hAnsiTheme="majorBidi" w:cstheme="majorBidi"/>
                <w:b/>
                <w:bCs/>
              </w:rPr>
              <w:t>Projet d’Appui Régional à l’Initiative</w:t>
            </w:r>
          </w:p>
          <w:p w:rsidR="008E7CEB" w:rsidRPr="00A40205" w:rsidRDefault="008E7CEB" w:rsidP="003F573B">
            <w:pPr>
              <w:spacing w:before="100" w:beforeAutospacing="1"/>
              <w:ind w:left="-108" w:right="-142"/>
              <w:jc w:val="center"/>
              <w:rPr>
                <w:b/>
                <w:bCs/>
              </w:rPr>
            </w:pPr>
            <w:r w:rsidRPr="003F573B">
              <w:rPr>
                <w:rFonts w:asciiTheme="majorBidi" w:hAnsiTheme="majorBidi" w:cstheme="majorBidi"/>
                <w:b/>
                <w:bCs/>
              </w:rPr>
              <w:t>pour  l’Irrigation au Sahel (PARIIS MR)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</w:tcPr>
          <w:p w:rsidR="008E7CEB" w:rsidRPr="00A40205" w:rsidRDefault="008E7CEB" w:rsidP="002A6C36">
            <w:pPr>
              <w:spacing w:before="100" w:beforeAutospacing="1"/>
              <w:rPr>
                <w:b/>
                <w:bCs/>
              </w:rPr>
            </w:pPr>
            <w:r w:rsidRPr="00F601C3"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-1338580</wp:posOffset>
                  </wp:positionV>
                  <wp:extent cx="1914525" cy="1323975"/>
                  <wp:effectExtent l="0" t="0" r="9525" b="952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E7CEB" w:rsidRPr="00A40205" w:rsidRDefault="00ED3A46" w:rsidP="002A6C36">
            <w:pPr>
              <w:spacing w:before="100" w:beforeAutospacing="1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  <w:rtl/>
              </w:rPr>
              <w:t>وزارة ال</w:t>
            </w:r>
            <w:r>
              <w:rPr>
                <w:rFonts w:hint="cs"/>
                <w:b/>
                <w:bCs/>
                <w:color w:val="000000"/>
                <w:shd w:val="clear" w:color="auto" w:fill="FFFFFF"/>
                <w:rtl/>
              </w:rPr>
              <w:t>زراعة</w:t>
            </w:r>
          </w:p>
          <w:p w:rsidR="008E7CEB" w:rsidRPr="00A40205" w:rsidRDefault="008E7CEB" w:rsidP="002A6C36">
            <w:pPr>
              <w:spacing w:before="100" w:beforeAutospacing="1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F601C3">
              <w:rPr>
                <w:b/>
                <w:bCs/>
                <w:color w:val="000000"/>
                <w:shd w:val="clear" w:color="auto" w:fill="FFFFFF"/>
                <w:rtl/>
              </w:rPr>
              <w:t xml:space="preserve">مشـروع الدعم </w:t>
            </w:r>
            <w:proofErr w:type="spellStart"/>
            <w:r w:rsidRPr="00F601C3">
              <w:rPr>
                <w:b/>
                <w:bCs/>
                <w:color w:val="000000"/>
                <w:shd w:val="clear" w:color="auto" w:fill="FFFFFF"/>
                <w:rtl/>
              </w:rPr>
              <w:t>الجـهـوي</w:t>
            </w:r>
            <w:proofErr w:type="spellEnd"/>
          </w:p>
          <w:p w:rsidR="008E7CEB" w:rsidRPr="00F601C3" w:rsidRDefault="008E7CEB" w:rsidP="002A6C36">
            <w:pPr>
              <w:spacing w:before="100" w:beforeAutospacing="1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F601C3">
              <w:rPr>
                <w:b/>
                <w:bCs/>
                <w:color w:val="000000"/>
                <w:shd w:val="clear" w:color="auto" w:fill="FFFFFF"/>
                <w:rtl/>
              </w:rPr>
              <w:t xml:space="preserve"> لمبادرة الري في الساحـل</w:t>
            </w:r>
          </w:p>
        </w:tc>
      </w:tr>
      <w:tr w:rsidR="008E7CEB" w:rsidRPr="00F601C3" w:rsidTr="002A6C36">
        <w:trPr>
          <w:trHeight w:val="909"/>
        </w:trPr>
        <w:tc>
          <w:tcPr>
            <w:tcW w:w="4616" w:type="dxa"/>
            <w:shd w:val="clear" w:color="auto" w:fill="auto"/>
            <w:vAlign w:val="center"/>
          </w:tcPr>
          <w:p w:rsidR="008E7CEB" w:rsidRPr="00F601C3" w:rsidRDefault="008E7CEB" w:rsidP="002A6C36">
            <w:pPr>
              <w:spacing w:before="100" w:beforeAutospacing="1"/>
              <w:jc w:val="center"/>
            </w:pPr>
          </w:p>
        </w:tc>
        <w:tc>
          <w:tcPr>
            <w:tcW w:w="3280" w:type="dxa"/>
            <w:vMerge/>
            <w:shd w:val="clear" w:color="auto" w:fill="auto"/>
            <w:vAlign w:val="center"/>
          </w:tcPr>
          <w:p w:rsidR="008E7CEB" w:rsidRPr="00F601C3" w:rsidRDefault="008E7CEB" w:rsidP="002A6C36">
            <w:pPr>
              <w:spacing w:before="100" w:beforeAutospacing="1"/>
              <w:rPr>
                <w:b/>
                <w:bCs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8E7CEB" w:rsidRPr="00F601C3" w:rsidRDefault="008E7CEB" w:rsidP="002A6C36">
            <w:pPr>
              <w:spacing w:before="100" w:beforeAutospacing="1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8E7CEB" w:rsidRPr="00D0083D" w:rsidTr="002A6C36">
        <w:trPr>
          <w:trHeight w:val="196"/>
        </w:trPr>
        <w:tc>
          <w:tcPr>
            <w:tcW w:w="11241" w:type="dxa"/>
            <w:gridSpan w:val="3"/>
            <w:shd w:val="clear" w:color="auto" w:fill="auto"/>
            <w:vAlign w:val="center"/>
          </w:tcPr>
          <w:p w:rsidR="008E7CEB" w:rsidRPr="006247B4" w:rsidRDefault="008E7CEB" w:rsidP="002A6C36">
            <w:pPr>
              <w:pStyle w:val="Titre1"/>
              <w:ind w:left="720"/>
              <w:rPr>
                <w:rFonts w:eastAsia="Calibri"/>
                <w:color w:val="000000"/>
                <w:shd w:val="clear" w:color="auto" w:fill="FFFFFF"/>
                <w:rtl/>
              </w:rPr>
            </w:pPr>
            <w:bookmarkStart w:id="0" w:name="_Toc57047730"/>
            <w:bookmarkStart w:id="1" w:name="_Toc65171652"/>
            <w:r w:rsidRPr="006247B4">
              <w:rPr>
                <w:noProof/>
                <w:lang w:val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margin">
                    <wp:posOffset>5092065</wp:posOffset>
                  </wp:positionH>
                  <wp:positionV relativeFrom="paragraph">
                    <wp:posOffset>49530</wp:posOffset>
                  </wp:positionV>
                  <wp:extent cx="1123950" cy="714375"/>
                  <wp:effectExtent l="0" t="0" r="0" b="9525"/>
                  <wp:wrapSquare wrapText="bothSides"/>
                  <wp:docPr id="4" name="Image 4" descr="Logo_cil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Logo_cil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47B4">
              <w:rPr>
                <w:noProof/>
                <w:lang w:val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101600</wp:posOffset>
                  </wp:positionV>
                  <wp:extent cx="1028700" cy="715645"/>
                  <wp:effectExtent l="0" t="0" r="0" b="8255"/>
                  <wp:wrapSquare wrapText="bothSides"/>
                  <wp:docPr id="3" name="Image 3" descr="C:\Users\Tec Informatique\Downloads\sceau_r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C:\Users\Tec Informatique\Downloads\sceau_r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47B4">
              <w:rPr>
                <w:noProof/>
                <w:lang w:val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2576830</wp:posOffset>
                  </wp:positionH>
                  <wp:positionV relativeFrom="paragraph">
                    <wp:posOffset>278765</wp:posOffset>
                  </wp:positionV>
                  <wp:extent cx="1714500" cy="381000"/>
                  <wp:effectExtent l="0" t="0" r="0" b="0"/>
                  <wp:wrapSquare wrapText="bothSides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bookmarkEnd w:id="1"/>
          </w:p>
        </w:tc>
      </w:tr>
    </w:tbl>
    <w:p w:rsidR="006778E1" w:rsidRDefault="006778E1" w:rsidP="00504421">
      <w:pPr>
        <w:spacing w:line="240" w:lineRule="auto"/>
        <w:jc w:val="center"/>
        <w:rPr>
          <w:b/>
          <w:bCs/>
        </w:rPr>
      </w:pPr>
    </w:p>
    <w:p w:rsidR="007266FE" w:rsidRPr="003F573B" w:rsidRDefault="007266FE" w:rsidP="003D239F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573B">
        <w:rPr>
          <w:rFonts w:asciiTheme="majorBidi" w:hAnsiTheme="majorBidi" w:cstheme="majorBidi"/>
          <w:b/>
          <w:bCs/>
          <w:sz w:val="32"/>
          <w:szCs w:val="32"/>
        </w:rPr>
        <w:t>Avis à manifestation d’intérêt</w:t>
      </w:r>
    </w:p>
    <w:p w:rsidR="003D239F" w:rsidRPr="009C2441" w:rsidRDefault="003D239F" w:rsidP="003D239F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1F67" w:rsidRPr="009C2441" w:rsidRDefault="007266FE" w:rsidP="00ED3A46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C2441">
        <w:rPr>
          <w:rFonts w:asciiTheme="majorBidi" w:hAnsiTheme="majorBidi" w:cstheme="majorBidi"/>
          <w:b/>
          <w:bCs/>
          <w:sz w:val="24"/>
          <w:szCs w:val="24"/>
        </w:rPr>
        <w:t xml:space="preserve">Recrutement d’un </w:t>
      </w:r>
      <w:r w:rsidR="00A671F4" w:rsidRPr="009C2441">
        <w:rPr>
          <w:rFonts w:asciiTheme="majorBidi" w:hAnsiTheme="majorBidi" w:cstheme="majorBidi"/>
          <w:b/>
          <w:bCs/>
          <w:sz w:val="24"/>
          <w:szCs w:val="24"/>
        </w:rPr>
        <w:t xml:space="preserve">consultant </w:t>
      </w:r>
      <w:r w:rsidR="00980C6C" w:rsidRPr="009C2441">
        <w:rPr>
          <w:rFonts w:asciiTheme="majorBidi" w:hAnsiTheme="majorBidi" w:cstheme="majorBidi"/>
          <w:b/>
          <w:bCs/>
          <w:sz w:val="24"/>
          <w:szCs w:val="24"/>
        </w:rPr>
        <w:t xml:space="preserve">(Firme) </w:t>
      </w:r>
      <w:bookmarkStart w:id="2" w:name="_Hlk518490222"/>
      <w:r w:rsidR="007C6AA6" w:rsidRPr="009C2441">
        <w:rPr>
          <w:rFonts w:asciiTheme="majorBidi" w:hAnsiTheme="majorBidi" w:cstheme="majorBidi"/>
          <w:b/>
          <w:bCs/>
          <w:sz w:val="24"/>
          <w:szCs w:val="24"/>
        </w:rPr>
        <w:t xml:space="preserve">pour </w:t>
      </w:r>
      <w:r w:rsidR="007C784F" w:rsidRPr="009C2441">
        <w:rPr>
          <w:rFonts w:asciiTheme="majorBidi" w:hAnsiTheme="majorBidi" w:cstheme="majorBidi"/>
          <w:b/>
          <w:bCs/>
          <w:sz w:val="24"/>
          <w:szCs w:val="24"/>
        </w:rPr>
        <w:t xml:space="preserve">le contrôle des travaux d’aménagement de </w:t>
      </w:r>
      <w:r w:rsidR="00ED3A46">
        <w:rPr>
          <w:rFonts w:asciiTheme="majorBidi" w:hAnsiTheme="majorBidi" w:cstheme="majorBidi"/>
          <w:b/>
          <w:bCs/>
          <w:sz w:val="24"/>
          <w:szCs w:val="24"/>
        </w:rPr>
        <w:t>300</w:t>
      </w:r>
      <w:r w:rsidR="007C784F" w:rsidRPr="009C2441">
        <w:rPr>
          <w:rFonts w:asciiTheme="majorBidi" w:hAnsiTheme="majorBidi" w:cstheme="majorBidi"/>
          <w:b/>
          <w:bCs/>
          <w:sz w:val="24"/>
          <w:szCs w:val="24"/>
        </w:rPr>
        <w:t xml:space="preserve"> ha de PIV au </w:t>
      </w:r>
      <w:proofErr w:type="spellStart"/>
      <w:r w:rsidR="007C784F" w:rsidRPr="009C2441">
        <w:rPr>
          <w:rFonts w:asciiTheme="majorBidi" w:hAnsiTheme="majorBidi" w:cstheme="majorBidi"/>
          <w:b/>
          <w:bCs/>
          <w:sz w:val="24"/>
          <w:szCs w:val="24"/>
        </w:rPr>
        <w:t>Gorgol</w:t>
      </w:r>
      <w:proofErr w:type="spellEnd"/>
      <w:r w:rsidR="007C784F" w:rsidRPr="009C2441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proofErr w:type="spellStart"/>
      <w:r w:rsidR="007C784F" w:rsidRPr="009C2441">
        <w:rPr>
          <w:rFonts w:asciiTheme="majorBidi" w:hAnsiTheme="majorBidi" w:cstheme="majorBidi"/>
          <w:b/>
          <w:bCs/>
          <w:sz w:val="24"/>
          <w:szCs w:val="24"/>
        </w:rPr>
        <w:t>Guidimagha</w:t>
      </w:r>
      <w:proofErr w:type="spellEnd"/>
      <w:r w:rsidR="007C6AA6" w:rsidRPr="009C2441">
        <w:rPr>
          <w:rFonts w:asciiTheme="majorBidi" w:hAnsiTheme="majorBidi" w:cstheme="majorBidi"/>
          <w:b/>
          <w:bCs/>
          <w:sz w:val="24"/>
          <w:szCs w:val="24"/>
        </w:rPr>
        <w:t>.</w:t>
      </w:r>
    </w:p>
    <w:bookmarkEnd w:id="2"/>
    <w:p w:rsidR="007266FE" w:rsidRPr="009C2441" w:rsidRDefault="007266FE" w:rsidP="00ED3A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C2441">
        <w:rPr>
          <w:rFonts w:asciiTheme="majorBidi" w:hAnsiTheme="majorBidi" w:cstheme="majorBidi"/>
          <w:sz w:val="24"/>
          <w:szCs w:val="24"/>
        </w:rPr>
        <w:t xml:space="preserve">Le Gouvernement de la République Islamique de Mauritanie a obtenu un don de l’Association Internationale pour le Développement (IDA) pour financer le </w:t>
      </w:r>
      <w:r w:rsidR="007C784F" w:rsidRPr="009C2441">
        <w:rPr>
          <w:rFonts w:asciiTheme="majorBidi" w:hAnsiTheme="majorBidi" w:cstheme="majorBidi"/>
          <w:sz w:val="24"/>
          <w:szCs w:val="24"/>
        </w:rPr>
        <w:t xml:space="preserve">Projet d’Appui Régional à l’Initiative pour l’Irrigation au Sahel (PARIIS) </w:t>
      </w:r>
      <w:r w:rsidRPr="009C2441">
        <w:rPr>
          <w:rFonts w:asciiTheme="majorBidi" w:hAnsiTheme="majorBidi" w:cstheme="majorBidi"/>
          <w:sz w:val="24"/>
          <w:szCs w:val="24"/>
        </w:rPr>
        <w:t xml:space="preserve">et a l’intention d’utiliser une partie de ce don pour effectuer des paiements au </w:t>
      </w:r>
      <w:r w:rsidR="00980C6C" w:rsidRPr="009C2441">
        <w:rPr>
          <w:rFonts w:asciiTheme="majorBidi" w:hAnsiTheme="majorBidi" w:cstheme="majorBidi"/>
          <w:sz w:val="24"/>
          <w:szCs w:val="24"/>
        </w:rPr>
        <w:t>titre du</w:t>
      </w:r>
      <w:r w:rsidRPr="009C2441">
        <w:rPr>
          <w:rFonts w:asciiTheme="majorBidi" w:hAnsiTheme="majorBidi" w:cstheme="majorBidi"/>
          <w:sz w:val="24"/>
          <w:szCs w:val="24"/>
        </w:rPr>
        <w:t xml:space="preserve"> Marché de</w:t>
      </w:r>
      <w:r w:rsidR="007C784F" w:rsidRPr="009C2441">
        <w:rPr>
          <w:rFonts w:asciiTheme="majorBidi" w:hAnsiTheme="majorBidi" w:cstheme="majorBidi"/>
          <w:sz w:val="24"/>
          <w:szCs w:val="24"/>
        </w:rPr>
        <w:t xml:space="preserve"> </w:t>
      </w:r>
      <w:r w:rsidR="00980C6C" w:rsidRPr="009C2441">
        <w:rPr>
          <w:rFonts w:asciiTheme="majorBidi" w:hAnsiTheme="majorBidi" w:cstheme="majorBidi"/>
          <w:sz w:val="24"/>
          <w:szCs w:val="24"/>
        </w:rPr>
        <w:t>consultant relatif</w:t>
      </w:r>
      <w:r w:rsidR="007C784F" w:rsidRPr="009C2441">
        <w:rPr>
          <w:rFonts w:asciiTheme="majorBidi" w:hAnsiTheme="majorBidi" w:cstheme="majorBidi"/>
          <w:sz w:val="24"/>
          <w:szCs w:val="24"/>
        </w:rPr>
        <w:t xml:space="preserve"> au</w:t>
      </w:r>
      <w:r w:rsidR="007C6AA6" w:rsidRPr="009C2441">
        <w:rPr>
          <w:rFonts w:asciiTheme="majorBidi" w:hAnsiTheme="majorBidi" w:cstheme="majorBidi"/>
          <w:sz w:val="24"/>
          <w:szCs w:val="24"/>
        </w:rPr>
        <w:t xml:space="preserve"> </w:t>
      </w:r>
      <w:r w:rsidR="007C784F" w:rsidRPr="009C2441">
        <w:rPr>
          <w:rFonts w:asciiTheme="majorBidi" w:hAnsiTheme="majorBidi" w:cstheme="majorBidi"/>
          <w:b/>
          <w:bCs/>
          <w:sz w:val="24"/>
          <w:szCs w:val="24"/>
        </w:rPr>
        <w:t xml:space="preserve">contrôle des travaux d’aménagement de </w:t>
      </w:r>
      <w:r w:rsidR="00ED3A46">
        <w:rPr>
          <w:rFonts w:asciiTheme="majorBidi" w:hAnsiTheme="majorBidi" w:cstheme="majorBidi"/>
          <w:b/>
          <w:bCs/>
          <w:sz w:val="24"/>
          <w:szCs w:val="24"/>
        </w:rPr>
        <w:t>300</w:t>
      </w:r>
      <w:r w:rsidR="007C784F" w:rsidRPr="009C2441">
        <w:rPr>
          <w:rFonts w:asciiTheme="majorBidi" w:hAnsiTheme="majorBidi" w:cstheme="majorBidi"/>
          <w:b/>
          <w:bCs/>
          <w:sz w:val="24"/>
          <w:szCs w:val="24"/>
        </w:rPr>
        <w:t xml:space="preserve"> ha de PIV au </w:t>
      </w:r>
      <w:proofErr w:type="spellStart"/>
      <w:r w:rsidR="007C784F" w:rsidRPr="009C2441">
        <w:rPr>
          <w:rFonts w:asciiTheme="majorBidi" w:hAnsiTheme="majorBidi" w:cstheme="majorBidi"/>
          <w:b/>
          <w:bCs/>
          <w:sz w:val="24"/>
          <w:szCs w:val="24"/>
        </w:rPr>
        <w:t>Gorgol</w:t>
      </w:r>
      <w:proofErr w:type="spellEnd"/>
      <w:r w:rsidR="007C784F" w:rsidRPr="009C2441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proofErr w:type="spellStart"/>
      <w:r w:rsidR="007C784F" w:rsidRPr="009C2441">
        <w:rPr>
          <w:rFonts w:asciiTheme="majorBidi" w:hAnsiTheme="majorBidi" w:cstheme="majorBidi"/>
          <w:b/>
          <w:bCs/>
          <w:sz w:val="24"/>
          <w:szCs w:val="24"/>
        </w:rPr>
        <w:t>Guidimagha</w:t>
      </w:r>
      <w:proofErr w:type="spellEnd"/>
      <w:r w:rsidR="007C784F" w:rsidRPr="009C244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980C6C" w:rsidRPr="009C2441" w:rsidRDefault="00980C6C" w:rsidP="00504421">
      <w:pPr>
        <w:shd w:val="clear" w:color="auto" w:fill="FFFFFF"/>
        <w:spacing w:after="0" w:line="240" w:lineRule="auto"/>
        <w:ind w:left="375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671F4" w:rsidRPr="009C2441" w:rsidRDefault="007266FE" w:rsidP="007C784F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2441">
        <w:rPr>
          <w:rFonts w:asciiTheme="majorBidi" w:hAnsiTheme="majorBidi" w:cstheme="majorBidi"/>
          <w:sz w:val="24"/>
          <w:szCs w:val="24"/>
        </w:rPr>
        <w:t>L’Unité de Coordination du Projet</w:t>
      </w:r>
      <w:r w:rsidR="007C784F" w:rsidRPr="009C2441">
        <w:rPr>
          <w:rFonts w:asciiTheme="majorBidi" w:hAnsiTheme="majorBidi" w:cstheme="majorBidi"/>
          <w:sz w:val="24"/>
          <w:szCs w:val="24"/>
        </w:rPr>
        <w:t xml:space="preserve"> d’Appui Régional à l’Initiative pour l’Irrigation au Sahel (PARIIS) </w:t>
      </w:r>
      <w:r w:rsidR="003A2F73" w:rsidRPr="009C2441">
        <w:rPr>
          <w:rFonts w:asciiTheme="majorBidi" w:hAnsiTheme="majorBidi" w:cstheme="majorBidi"/>
          <w:sz w:val="24"/>
          <w:szCs w:val="24"/>
        </w:rPr>
        <w:t xml:space="preserve"> invite les Consultants</w:t>
      </w:r>
      <w:r w:rsidRPr="009C2441">
        <w:rPr>
          <w:rFonts w:asciiTheme="majorBidi" w:hAnsiTheme="majorBidi" w:cstheme="majorBidi"/>
          <w:sz w:val="24"/>
          <w:szCs w:val="24"/>
        </w:rPr>
        <w:t xml:space="preserve"> (Firmes)</w:t>
      </w:r>
      <w:r w:rsidR="003A2F73" w:rsidRPr="009C2441">
        <w:rPr>
          <w:rFonts w:asciiTheme="majorBidi" w:hAnsiTheme="majorBidi" w:cstheme="majorBidi"/>
          <w:sz w:val="24"/>
          <w:szCs w:val="24"/>
        </w:rPr>
        <w:t xml:space="preserve"> éligibles à manifester leur intérêt pour fournir les services décrits ci-dessus. </w:t>
      </w:r>
    </w:p>
    <w:p w:rsidR="003A2F73" w:rsidRPr="009C2441" w:rsidRDefault="003A2F73" w:rsidP="00ED3A46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2441">
        <w:rPr>
          <w:rFonts w:asciiTheme="majorBidi" w:hAnsiTheme="majorBidi" w:cstheme="majorBidi"/>
          <w:sz w:val="24"/>
          <w:szCs w:val="24"/>
        </w:rPr>
        <w:t>Les consultants intéressés devront fournir les informations démontrant qu'ils ont les qualifications et expériences pertinentes pour fournir les services demandés</w:t>
      </w:r>
      <w:r w:rsidR="00ED3A46">
        <w:rPr>
          <w:rFonts w:asciiTheme="majorBidi" w:hAnsiTheme="majorBidi" w:cstheme="majorBidi"/>
          <w:sz w:val="24"/>
          <w:szCs w:val="24"/>
        </w:rPr>
        <w:t xml:space="preserve"> </w:t>
      </w:r>
      <w:r w:rsidR="00C727A3" w:rsidRPr="009C2441">
        <w:rPr>
          <w:rFonts w:asciiTheme="majorBidi" w:hAnsiTheme="majorBidi" w:cstheme="majorBidi"/>
          <w:sz w:val="24"/>
          <w:szCs w:val="24"/>
        </w:rPr>
        <w:t>(</w:t>
      </w:r>
      <w:r w:rsidR="00C727A3" w:rsidRPr="009C2441">
        <w:rPr>
          <w:rFonts w:asciiTheme="majorBidi" w:hAnsiTheme="majorBidi" w:cstheme="majorBidi"/>
          <w:b/>
          <w:sz w:val="24"/>
          <w:szCs w:val="24"/>
        </w:rPr>
        <w:t>la nature des activités du candidat, les qualifications du candidat dans le domaine des prestations et notamment références</w:t>
      </w:r>
      <w:r w:rsidR="000022C1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 w:rsidR="00A671F4" w:rsidRPr="009C2441">
        <w:rPr>
          <w:rFonts w:asciiTheme="majorBidi" w:hAnsiTheme="majorBidi" w:cstheme="majorBidi"/>
          <w:b/>
          <w:sz w:val="24"/>
          <w:szCs w:val="24"/>
        </w:rPr>
        <w:t>( DUEMENT</w:t>
      </w:r>
      <w:proofErr w:type="gramEnd"/>
      <w:r w:rsidR="00A671F4" w:rsidRPr="009C2441">
        <w:rPr>
          <w:rFonts w:asciiTheme="majorBidi" w:hAnsiTheme="majorBidi" w:cstheme="majorBidi"/>
          <w:b/>
          <w:sz w:val="24"/>
          <w:szCs w:val="24"/>
        </w:rPr>
        <w:t xml:space="preserve"> ATTESTEES)</w:t>
      </w:r>
      <w:r w:rsidR="00C727A3" w:rsidRPr="009C2441">
        <w:rPr>
          <w:rFonts w:asciiTheme="majorBidi" w:hAnsiTheme="majorBidi" w:cstheme="majorBidi"/>
          <w:b/>
          <w:sz w:val="24"/>
          <w:szCs w:val="24"/>
        </w:rPr>
        <w:t xml:space="preserve"> concernant l’exécution de marchés analogues</w:t>
      </w:r>
      <w:r w:rsidR="00ED3A46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C727A3" w:rsidRPr="009C2441">
        <w:rPr>
          <w:rFonts w:asciiTheme="majorBidi" w:hAnsiTheme="majorBidi" w:cstheme="majorBidi"/>
          <w:sz w:val="24"/>
          <w:szCs w:val="24"/>
        </w:rPr>
        <w:t>Les candidats peuvent s’associer pour renforcer leurs compétences respectives.</w:t>
      </w:r>
    </w:p>
    <w:p w:rsidR="00777E7B" w:rsidRPr="009C2441" w:rsidRDefault="00777E7B" w:rsidP="00ED3A46">
      <w:pPr>
        <w:pStyle w:val="Corpsdetexte"/>
        <w:tabs>
          <w:tab w:val="left" w:pos="15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sz w:val="24"/>
          <w:szCs w:val="24"/>
        </w:rPr>
      </w:pPr>
    </w:p>
    <w:p w:rsidR="00777E7B" w:rsidRPr="009C2441" w:rsidRDefault="00777E7B" w:rsidP="00777E7B">
      <w:pPr>
        <w:pStyle w:val="Corpsdetexte"/>
        <w:tabs>
          <w:tab w:val="left" w:pos="155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Bidi" w:hAnsiTheme="majorBidi" w:cstheme="majorBidi"/>
          <w:b/>
          <w:sz w:val="24"/>
          <w:szCs w:val="24"/>
        </w:rPr>
      </w:pPr>
      <w:r w:rsidRPr="009C2441">
        <w:rPr>
          <w:rFonts w:asciiTheme="majorBidi" w:hAnsiTheme="majorBidi" w:cstheme="majorBidi"/>
          <w:b/>
          <w:sz w:val="24"/>
          <w:szCs w:val="24"/>
        </w:rPr>
        <w:t xml:space="preserve">Pour </w:t>
      </w:r>
      <w:r w:rsidR="00A53117" w:rsidRPr="009C2441">
        <w:rPr>
          <w:rFonts w:asciiTheme="majorBidi" w:hAnsiTheme="majorBidi" w:cstheme="majorBidi"/>
          <w:b/>
          <w:sz w:val="24"/>
          <w:szCs w:val="24"/>
        </w:rPr>
        <w:t>plus de détail consulter les TDR</w:t>
      </w:r>
      <w:r w:rsidRPr="009C2441">
        <w:rPr>
          <w:rFonts w:asciiTheme="majorBidi" w:hAnsiTheme="majorBidi" w:cstheme="majorBidi"/>
          <w:b/>
          <w:sz w:val="24"/>
          <w:szCs w:val="24"/>
        </w:rPr>
        <w:t xml:space="preserve"> au</w:t>
      </w:r>
      <w:r w:rsidR="000859DF" w:rsidRPr="009C2441">
        <w:rPr>
          <w:rFonts w:asciiTheme="majorBidi" w:hAnsiTheme="majorBidi" w:cstheme="majorBidi"/>
          <w:b/>
          <w:sz w:val="24"/>
          <w:szCs w:val="24"/>
        </w:rPr>
        <w:t xml:space="preserve"> site :</w:t>
      </w:r>
      <w:r w:rsidRPr="009C244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53117" w:rsidRPr="009C2441">
        <w:rPr>
          <w:rFonts w:asciiTheme="majorBidi" w:hAnsiTheme="majorBidi" w:cstheme="majorBidi"/>
          <w:b/>
          <w:sz w:val="24"/>
          <w:szCs w:val="24"/>
        </w:rPr>
        <w:t>www.priis.mr</w:t>
      </w:r>
    </w:p>
    <w:p w:rsidR="00777E7B" w:rsidRPr="009C2441" w:rsidRDefault="00777E7B" w:rsidP="00777E7B">
      <w:pPr>
        <w:pStyle w:val="Corpsdetexte"/>
        <w:tabs>
          <w:tab w:val="left" w:pos="155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Bidi" w:hAnsiTheme="majorBidi" w:cstheme="majorBidi"/>
          <w:b/>
          <w:sz w:val="24"/>
          <w:szCs w:val="24"/>
        </w:rPr>
      </w:pPr>
    </w:p>
    <w:p w:rsidR="00777E7B" w:rsidRPr="009C2441" w:rsidRDefault="00A52783" w:rsidP="001F7273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2783">
        <w:rPr>
          <w:rFonts w:asciiTheme="majorBidi" w:hAnsiTheme="majorBidi" w:cstheme="majorBidi"/>
          <w:sz w:val="24"/>
          <w:szCs w:val="24"/>
        </w:rPr>
        <w:t>Le consultant doit être spécialisé dans le domaine de la construction, en général et des aménagements hydro agricoles et hydrauliques, en particulier</w:t>
      </w:r>
      <w:r w:rsidR="00777E7B" w:rsidRPr="009C2441">
        <w:rPr>
          <w:rFonts w:asciiTheme="majorBidi" w:hAnsiTheme="majorBidi" w:cstheme="majorBidi"/>
          <w:sz w:val="24"/>
          <w:szCs w:val="24"/>
        </w:rPr>
        <w:t>. La mi</w:t>
      </w:r>
      <w:r w:rsidR="00690CAD">
        <w:rPr>
          <w:rFonts w:asciiTheme="majorBidi" w:hAnsiTheme="majorBidi" w:cstheme="majorBidi"/>
          <w:sz w:val="24"/>
          <w:szCs w:val="24"/>
        </w:rPr>
        <w:t>ssion fera l’objet d’un contrat au temps passé</w:t>
      </w:r>
      <w:r w:rsidR="001F7273" w:rsidRPr="003D738B">
        <w:rPr>
          <w:rFonts w:asciiTheme="majorBidi" w:hAnsiTheme="majorBidi" w:cstheme="majorBidi"/>
          <w:sz w:val="24"/>
          <w:szCs w:val="24"/>
        </w:rPr>
        <w:t>.</w:t>
      </w:r>
      <w:r w:rsidR="007C6AA6" w:rsidRPr="009C2441">
        <w:rPr>
          <w:rFonts w:asciiTheme="majorBidi" w:hAnsiTheme="majorBidi" w:cstheme="majorBidi"/>
          <w:sz w:val="24"/>
          <w:szCs w:val="24"/>
        </w:rPr>
        <w:t xml:space="preserve"> </w:t>
      </w:r>
      <w:r w:rsidR="00777E7B" w:rsidRPr="009C2441">
        <w:rPr>
          <w:rFonts w:asciiTheme="majorBidi" w:hAnsiTheme="majorBidi" w:cstheme="majorBidi"/>
          <w:sz w:val="24"/>
          <w:szCs w:val="24"/>
        </w:rPr>
        <w:t xml:space="preserve"> Le consultant devra fournir dans son dossier toutes les pièces justificatives des références techniques qu'il aura citées.</w:t>
      </w:r>
    </w:p>
    <w:p w:rsidR="00F71031" w:rsidRPr="009C2441" w:rsidRDefault="00F71031" w:rsidP="00A53117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A2F73" w:rsidRPr="009C2441" w:rsidRDefault="00ED3A46" w:rsidP="006E7B36">
      <w:pPr>
        <w:pStyle w:val="Paragraphedeliste"/>
        <w:numPr>
          <w:ilvl w:val="0"/>
          <w:numId w:val="5"/>
        </w:numPr>
        <w:tabs>
          <w:tab w:val="clear" w:pos="375"/>
          <w:tab w:val="num" w:pos="284"/>
        </w:tabs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9C2441">
        <w:rPr>
          <w:rFonts w:asciiTheme="majorBidi" w:hAnsiTheme="majorBidi" w:cstheme="majorBidi"/>
          <w:spacing w:val="-2"/>
          <w:sz w:val="24"/>
          <w:szCs w:val="24"/>
        </w:rPr>
        <w:t xml:space="preserve">Le consultant sera sélectionné en accord avec les procédures définies dans </w:t>
      </w:r>
      <w:r>
        <w:rPr>
          <w:rFonts w:ascii="Book Antiqua" w:hAnsi="Book Antiqua"/>
        </w:rPr>
        <w:t>la méthode Sélection Fondé sur les Qualification des consultants (QC) en conformité avec les directives</w:t>
      </w:r>
      <w:r w:rsidRPr="00BA1D3D">
        <w:rPr>
          <w:rFonts w:ascii="Book Antiqua" w:hAnsi="Book Antiqua"/>
        </w:rPr>
        <w:t xml:space="preserve"> relatives à la passation des marchés financés par les prêts de la BIRD et les crédits de l’IDA, version 2011, actualisé en 2014</w:t>
      </w:r>
      <w:r w:rsidR="009E667C" w:rsidRPr="009C2441">
        <w:rPr>
          <w:rFonts w:asciiTheme="majorBidi" w:hAnsiTheme="majorBidi" w:cstheme="majorBidi"/>
          <w:sz w:val="24"/>
          <w:szCs w:val="24"/>
        </w:rPr>
        <w:t>.</w:t>
      </w:r>
    </w:p>
    <w:p w:rsidR="001669C1" w:rsidRPr="009C2441" w:rsidRDefault="001669C1" w:rsidP="001669C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1669C1" w:rsidRPr="009C2441" w:rsidRDefault="006E7B36" w:rsidP="006E7B36">
      <w:pPr>
        <w:pStyle w:val="Paragraphedeliste"/>
        <w:numPr>
          <w:ilvl w:val="0"/>
          <w:numId w:val="5"/>
        </w:numPr>
        <w:tabs>
          <w:tab w:val="clear" w:pos="375"/>
          <w:tab w:val="num" w:pos="142"/>
        </w:tabs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 w:hint="cs"/>
          <w:rtl/>
        </w:rPr>
        <w:t xml:space="preserve"> </w:t>
      </w:r>
      <w:r w:rsidR="00690CAD">
        <w:rPr>
          <w:rFonts w:ascii="Times New Roman" w:hAnsi="Times New Roman" w:cs="Times New Roman"/>
        </w:rPr>
        <w:t>Une short-List comprenant  6 bureaux auxquels une demande de proposition (DP) sera envoyée, sera établie sur la base des critères ci-après</w:t>
      </w:r>
      <w:r w:rsidR="009E667C" w:rsidRPr="009C2441">
        <w:rPr>
          <w:rFonts w:asciiTheme="majorBidi" w:hAnsiTheme="majorBidi" w:cstheme="majorBidi"/>
          <w:sz w:val="24"/>
          <w:szCs w:val="24"/>
        </w:rPr>
        <w:t>.</w:t>
      </w:r>
    </w:p>
    <w:p w:rsidR="001669C1" w:rsidRPr="009C2441" w:rsidRDefault="001669C1" w:rsidP="001669C1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2441">
        <w:rPr>
          <w:rFonts w:asciiTheme="majorBidi" w:hAnsiTheme="majorBidi" w:cstheme="majorBidi"/>
          <w:sz w:val="24"/>
          <w:szCs w:val="24"/>
        </w:rPr>
        <w:t>Expérience générale : 25 points</w:t>
      </w:r>
    </w:p>
    <w:p w:rsidR="001669C1" w:rsidRPr="00ED3A46" w:rsidRDefault="001669C1" w:rsidP="00ED3A46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2441">
        <w:rPr>
          <w:rFonts w:asciiTheme="majorBidi" w:hAnsiTheme="majorBidi" w:cstheme="majorBidi"/>
          <w:sz w:val="24"/>
          <w:szCs w:val="24"/>
        </w:rPr>
        <w:t>Expérience spécifique : 75 points</w:t>
      </w:r>
    </w:p>
    <w:p w:rsidR="00A671F4" w:rsidRPr="009C2441" w:rsidRDefault="00A671F4" w:rsidP="00ED3A46">
      <w:pPr>
        <w:numPr>
          <w:ilvl w:val="0"/>
          <w:numId w:val="5"/>
        </w:numPr>
        <w:tabs>
          <w:tab w:val="clear" w:pos="375"/>
          <w:tab w:val="num" w:pos="15"/>
        </w:tabs>
        <w:spacing w:after="0" w:line="240" w:lineRule="auto"/>
        <w:ind w:left="15"/>
        <w:jc w:val="both"/>
        <w:rPr>
          <w:rFonts w:asciiTheme="majorBidi" w:hAnsiTheme="majorBidi" w:cstheme="majorBidi"/>
          <w:sz w:val="24"/>
          <w:szCs w:val="24"/>
        </w:rPr>
      </w:pPr>
      <w:r w:rsidRPr="009C2441">
        <w:rPr>
          <w:rFonts w:asciiTheme="majorBidi" w:hAnsiTheme="majorBidi" w:cstheme="majorBidi"/>
          <w:sz w:val="24"/>
          <w:szCs w:val="24"/>
        </w:rPr>
        <w:lastRenderedPageBreak/>
        <w:t xml:space="preserve">L’attention des candidats est attirée sur les dispositions relatives aux </w:t>
      </w:r>
      <w:r w:rsidR="009E667C" w:rsidRPr="009C2441">
        <w:rPr>
          <w:rFonts w:asciiTheme="majorBidi" w:hAnsiTheme="majorBidi" w:cstheme="majorBidi"/>
          <w:sz w:val="24"/>
          <w:szCs w:val="24"/>
        </w:rPr>
        <w:t>conflits d’intérêt décrits</w:t>
      </w:r>
      <w:r w:rsidR="000859DF" w:rsidRPr="009C2441">
        <w:rPr>
          <w:rFonts w:asciiTheme="majorBidi" w:hAnsiTheme="majorBidi" w:cstheme="majorBidi"/>
          <w:sz w:val="24"/>
          <w:szCs w:val="24"/>
        </w:rPr>
        <w:t xml:space="preserve"> dans</w:t>
      </w:r>
      <w:r w:rsidR="00ED3A46">
        <w:rPr>
          <w:rFonts w:asciiTheme="majorBidi" w:hAnsiTheme="majorBidi" w:cstheme="majorBidi"/>
          <w:sz w:val="24"/>
          <w:szCs w:val="24"/>
        </w:rPr>
        <w:t xml:space="preserve"> </w:t>
      </w:r>
      <w:r w:rsidR="00ED3A46">
        <w:rPr>
          <w:rFonts w:ascii="Book Antiqua" w:hAnsi="Book Antiqua"/>
        </w:rPr>
        <w:t>les directives susmentionnées</w:t>
      </w:r>
      <w:r w:rsidR="000859DF" w:rsidRPr="009C2441">
        <w:rPr>
          <w:rFonts w:asciiTheme="majorBidi" w:hAnsiTheme="majorBidi" w:cstheme="majorBidi"/>
          <w:spacing w:val="-2"/>
          <w:sz w:val="24"/>
          <w:szCs w:val="24"/>
        </w:rPr>
        <w:t>.</w:t>
      </w:r>
    </w:p>
    <w:p w:rsidR="00B1653F" w:rsidRPr="009C2441" w:rsidRDefault="00B1653F" w:rsidP="00504421">
      <w:pPr>
        <w:pStyle w:val="Corpsdetex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1653F" w:rsidRPr="009C2441" w:rsidRDefault="003A2F73" w:rsidP="006E7B36">
      <w:pPr>
        <w:numPr>
          <w:ilvl w:val="0"/>
          <w:numId w:val="5"/>
        </w:numPr>
        <w:tabs>
          <w:tab w:val="clear" w:pos="375"/>
          <w:tab w:val="num" w:pos="15"/>
        </w:tabs>
        <w:spacing w:after="0" w:line="240" w:lineRule="auto"/>
        <w:ind w:left="15"/>
        <w:jc w:val="both"/>
        <w:rPr>
          <w:rFonts w:asciiTheme="majorBidi" w:hAnsiTheme="majorBidi" w:cstheme="majorBidi"/>
          <w:sz w:val="24"/>
          <w:szCs w:val="24"/>
        </w:rPr>
      </w:pPr>
      <w:r w:rsidRPr="009C2441">
        <w:rPr>
          <w:rFonts w:asciiTheme="majorBidi" w:hAnsiTheme="majorBidi" w:cstheme="majorBidi"/>
          <w:sz w:val="24"/>
          <w:szCs w:val="24"/>
        </w:rPr>
        <w:t xml:space="preserve">Les manifestations d’intérêt </w:t>
      </w:r>
      <w:r w:rsidR="006778E1" w:rsidRPr="009C2441">
        <w:rPr>
          <w:rFonts w:asciiTheme="majorBidi" w:hAnsiTheme="majorBidi" w:cstheme="majorBidi"/>
          <w:sz w:val="24"/>
          <w:szCs w:val="24"/>
        </w:rPr>
        <w:t xml:space="preserve">en 03 trois exemplaires sous enveloppe fermées </w:t>
      </w:r>
      <w:r w:rsidRPr="009C2441">
        <w:rPr>
          <w:rFonts w:asciiTheme="majorBidi" w:hAnsiTheme="majorBidi" w:cstheme="majorBidi"/>
          <w:sz w:val="24"/>
          <w:szCs w:val="24"/>
        </w:rPr>
        <w:t xml:space="preserve">doivent être envoyées par courrier </w:t>
      </w:r>
      <w:r w:rsidR="006E7B3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E7B36">
        <w:rPr>
          <w:rFonts w:asciiTheme="majorBidi" w:hAnsiTheme="majorBidi" w:cstheme="majorBidi"/>
          <w:sz w:val="24"/>
          <w:szCs w:val="24"/>
        </w:rPr>
        <w:t xml:space="preserve">ou déposées </w:t>
      </w:r>
      <w:r w:rsidRPr="009C2441">
        <w:rPr>
          <w:rFonts w:asciiTheme="majorBidi" w:hAnsiTheme="majorBidi" w:cstheme="majorBidi"/>
          <w:sz w:val="24"/>
          <w:szCs w:val="24"/>
        </w:rPr>
        <w:t xml:space="preserve">à l’adresse indiquée </w:t>
      </w:r>
      <w:r w:rsidR="00A671F4" w:rsidRPr="009C2441">
        <w:rPr>
          <w:rFonts w:asciiTheme="majorBidi" w:hAnsiTheme="majorBidi" w:cstheme="majorBidi"/>
          <w:sz w:val="24"/>
          <w:szCs w:val="24"/>
        </w:rPr>
        <w:t>à l’adresse ci-dessous</w:t>
      </w:r>
      <w:r w:rsidR="00C975C9" w:rsidRPr="009C2441">
        <w:rPr>
          <w:rFonts w:asciiTheme="majorBidi" w:hAnsiTheme="majorBidi" w:cstheme="majorBidi"/>
          <w:color w:val="000000"/>
          <w:sz w:val="24"/>
          <w:szCs w:val="24"/>
        </w:rPr>
        <w:t xml:space="preserve"> au plus </w:t>
      </w:r>
      <w:r w:rsidR="004C7C45" w:rsidRPr="009C2441">
        <w:rPr>
          <w:rFonts w:asciiTheme="majorBidi" w:hAnsiTheme="majorBidi" w:cstheme="majorBidi"/>
          <w:color w:val="000000"/>
          <w:sz w:val="24"/>
          <w:szCs w:val="24"/>
        </w:rPr>
        <w:t>tard le</w:t>
      </w:r>
      <w:r w:rsidR="000859DF" w:rsidRPr="009C244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E7B36">
        <w:rPr>
          <w:rFonts w:asciiTheme="majorBidi" w:hAnsiTheme="majorBidi" w:cstheme="majorBidi"/>
          <w:b/>
          <w:color w:val="000000"/>
          <w:sz w:val="24"/>
          <w:szCs w:val="24"/>
        </w:rPr>
        <w:t>14</w:t>
      </w:r>
      <w:r w:rsidR="00ED3A46">
        <w:rPr>
          <w:rFonts w:asciiTheme="majorBidi" w:hAnsiTheme="majorBidi" w:cstheme="majorBidi"/>
          <w:b/>
          <w:color w:val="000000"/>
          <w:sz w:val="24"/>
          <w:szCs w:val="24"/>
        </w:rPr>
        <w:t>/01/</w:t>
      </w:r>
      <w:r w:rsidR="007C6AA6" w:rsidRPr="009C2441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0859DF" w:rsidRPr="009C2441">
        <w:rPr>
          <w:rFonts w:asciiTheme="majorBidi" w:hAnsiTheme="majorBidi" w:cstheme="majorBidi"/>
          <w:b/>
          <w:color w:val="000000"/>
          <w:sz w:val="24"/>
          <w:szCs w:val="24"/>
        </w:rPr>
        <w:t>202</w:t>
      </w:r>
      <w:r w:rsidR="006E7B36">
        <w:rPr>
          <w:rFonts w:asciiTheme="majorBidi" w:hAnsiTheme="majorBidi" w:cstheme="majorBidi"/>
          <w:b/>
          <w:color w:val="000000"/>
          <w:sz w:val="24"/>
          <w:szCs w:val="24"/>
        </w:rPr>
        <w:t>2</w:t>
      </w:r>
      <w:r w:rsidR="00B1653F" w:rsidRPr="009C2441">
        <w:rPr>
          <w:rFonts w:asciiTheme="majorBidi" w:hAnsiTheme="majorBidi" w:cstheme="majorBidi"/>
          <w:b/>
          <w:color w:val="000000"/>
          <w:sz w:val="24"/>
          <w:szCs w:val="24"/>
        </w:rPr>
        <w:t xml:space="preserve"> à </w:t>
      </w:r>
      <w:r w:rsidR="00777E7B" w:rsidRPr="009C2441">
        <w:rPr>
          <w:rFonts w:asciiTheme="majorBidi" w:hAnsiTheme="majorBidi" w:cstheme="majorBidi"/>
          <w:b/>
          <w:color w:val="000000"/>
          <w:sz w:val="24"/>
          <w:szCs w:val="24"/>
        </w:rPr>
        <w:t>1</w:t>
      </w:r>
      <w:r w:rsidR="006E7B36">
        <w:rPr>
          <w:rFonts w:asciiTheme="majorBidi" w:hAnsiTheme="majorBidi" w:cstheme="majorBidi"/>
          <w:b/>
          <w:color w:val="000000"/>
          <w:sz w:val="24"/>
          <w:szCs w:val="24"/>
        </w:rPr>
        <w:t>0</w:t>
      </w:r>
      <w:r w:rsidR="00B1653F" w:rsidRPr="009C2441">
        <w:rPr>
          <w:rFonts w:asciiTheme="majorBidi" w:hAnsiTheme="majorBidi" w:cstheme="majorBidi"/>
          <w:b/>
          <w:color w:val="000000"/>
          <w:sz w:val="24"/>
          <w:szCs w:val="24"/>
        </w:rPr>
        <w:t xml:space="preserve"> heures.</w:t>
      </w:r>
    </w:p>
    <w:p w:rsidR="006778E1" w:rsidRPr="009C2441" w:rsidRDefault="006778E1" w:rsidP="006778E1">
      <w:pPr>
        <w:spacing w:after="0" w:line="240" w:lineRule="auto"/>
        <w:ind w:left="15"/>
        <w:jc w:val="both"/>
        <w:rPr>
          <w:rFonts w:asciiTheme="majorBidi" w:hAnsiTheme="majorBidi" w:cstheme="majorBidi"/>
          <w:sz w:val="24"/>
          <w:szCs w:val="24"/>
        </w:rPr>
      </w:pPr>
    </w:p>
    <w:p w:rsidR="006778E1" w:rsidRPr="009C2441" w:rsidRDefault="000859DF" w:rsidP="000859DF">
      <w:pPr>
        <w:tabs>
          <w:tab w:val="right" w:pos="7254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2441">
        <w:rPr>
          <w:rFonts w:asciiTheme="majorBidi" w:hAnsiTheme="majorBidi" w:cstheme="majorBidi"/>
          <w:b/>
          <w:bCs/>
          <w:sz w:val="24"/>
          <w:szCs w:val="24"/>
        </w:rPr>
        <w:t>Commission de passation des marchés publics du MRD</w:t>
      </w:r>
    </w:p>
    <w:p w:rsidR="000859DF" w:rsidRPr="00690CAD" w:rsidRDefault="009C2441" w:rsidP="000859DF">
      <w:pPr>
        <w:tabs>
          <w:tab w:val="right" w:pos="7254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90CAD">
        <w:rPr>
          <w:rFonts w:asciiTheme="majorBidi" w:hAnsiTheme="majorBidi" w:cstheme="majorBidi"/>
          <w:b/>
          <w:bCs/>
          <w:sz w:val="24"/>
          <w:szCs w:val="24"/>
        </w:rPr>
        <w:t xml:space="preserve">Rue Mohamed </w:t>
      </w:r>
      <w:proofErr w:type="spellStart"/>
      <w:r w:rsidRPr="00690CAD">
        <w:rPr>
          <w:rFonts w:asciiTheme="majorBidi" w:hAnsiTheme="majorBidi" w:cstheme="majorBidi"/>
          <w:b/>
          <w:bCs/>
          <w:sz w:val="24"/>
          <w:szCs w:val="24"/>
        </w:rPr>
        <w:t>Elmoustapha</w:t>
      </w:r>
      <w:proofErr w:type="spellEnd"/>
      <w:r w:rsidRPr="00690CAD">
        <w:rPr>
          <w:rFonts w:asciiTheme="majorBidi" w:hAnsiTheme="majorBidi" w:cstheme="majorBidi"/>
          <w:b/>
          <w:bCs/>
          <w:sz w:val="24"/>
          <w:szCs w:val="24"/>
        </w:rPr>
        <w:t xml:space="preserve"> OULD SALEK</w:t>
      </w:r>
    </w:p>
    <w:p w:rsidR="009C2441" w:rsidRDefault="00DF4738" w:rsidP="000859DF">
      <w:pPr>
        <w:tabs>
          <w:tab w:val="right" w:pos="7254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Derrière</w:t>
      </w:r>
      <w:r w:rsidR="009C2441" w:rsidRPr="009C2441">
        <w:rPr>
          <w:rFonts w:asciiTheme="majorBidi" w:hAnsiTheme="majorBidi" w:cstheme="majorBidi"/>
          <w:b/>
          <w:bCs/>
          <w:sz w:val="24"/>
          <w:szCs w:val="24"/>
        </w:rPr>
        <w:t xml:space="preserve"> de palais de congrès </w:t>
      </w:r>
    </w:p>
    <w:p w:rsidR="006E7B36" w:rsidRDefault="006E7B36" w:rsidP="000859DF">
      <w:pPr>
        <w:tabs>
          <w:tab w:val="right" w:pos="7254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E7B36" w:rsidRPr="009C2441" w:rsidRDefault="006E7B36" w:rsidP="006E7B36">
      <w:pPr>
        <w:tabs>
          <w:tab w:val="right" w:pos="7254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E7B36">
        <w:rPr>
          <w:rFonts w:asciiTheme="majorBidi" w:hAnsiTheme="majorBidi" w:cstheme="majorBidi"/>
          <w:sz w:val="24"/>
          <w:szCs w:val="24"/>
        </w:rPr>
        <w:t>L’ouverture des manifestations sera à la même adresse 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>14/01/</w:t>
      </w:r>
      <w:r w:rsidRPr="009C2441">
        <w:rPr>
          <w:rFonts w:asciiTheme="majorBidi" w:hAnsiTheme="majorBidi" w:cstheme="majorBidi"/>
          <w:b/>
          <w:color w:val="000000"/>
          <w:sz w:val="24"/>
          <w:szCs w:val="24"/>
        </w:rPr>
        <w:t xml:space="preserve"> 202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>2</w:t>
      </w:r>
      <w:r w:rsidRPr="009C2441">
        <w:rPr>
          <w:rFonts w:asciiTheme="majorBidi" w:hAnsiTheme="majorBidi" w:cstheme="majorBidi"/>
          <w:b/>
          <w:color w:val="000000"/>
          <w:sz w:val="24"/>
          <w:szCs w:val="24"/>
        </w:rPr>
        <w:t xml:space="preserve"> à 1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>0</w:t>
      </w:r>
      <w:r w:rsidRPr="009C2441">
        <w:rPr>
          <w:rFonts w:asciiTheme="majorBidi" w:hAnsiTheme="majorBidi" w:cstheme="majorBidi"/>
          <w:b/>
          <w:color w:val="000000"/>
          <w:sz w:val="24"/>
          <w:szCs w:val="24"/>
        </w:rPr>
        <w:t xml:space="preserve"> heures</w:t>
      </w:r>
    </w:p>
    <w:p w:rsidR="003A2F73" w:rsidRPr="009C2441" w:rsidRDefault="003A2F73" w:rsidP="00504421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240" w:lineRule="auto"/>
        <w:ind w:left="15"/>
        <w:jc w:val="both"/>
        <w:rPr>
          <w:rFonts w:asciiTheme="majorBidi" w:hAnsiTheme="majorBidi" w:cstheme="majorBidi"/>
          <w:sz w:val="24"/>
          <w:szCs w:val="24"/>
        </w:rPr>
      </w:pPr>
    </w:p>
    <w:p w:rsidR="00777E7B" w:rsidRPr="009C2441" w:rsidRDefault="00A671F4" w:rsidP="00ED3A46">
      <w:pPr>
        <w:numPr>
          <w:ilvl w:val="0"/>
          <w:numId w:val="5"/>
        </w:numPr>
        <w:tabs>
          <w:tab w:val="clear" w:pos="375"/>
          <w:tab w:val="num" w:pos="15"/>
        </w:tabs>
        <w:spacing w:after="0" w:line="240" w:lineRule="auto"/>
        <w:ind w:left="15"/>
        <w:jc w:val="both"/>
        <w:rPr>
          <w:rFonts w:asciiTheme="majorBidi" w:hAnsiTheme="majorBidi" w:cstheme="majorBidi"/>
          <w:sz w:val="24"/>
          <w:szCs w:val="24"/>
        </w:rPr>
      </w:pPr>
      <w:r w:rsidRPr="009C2441">
        <w:rPr>
          <w:rFonts w:asciiTheme="majorBidi" w:hAnsiTheme="majorBidi" w:cstheme="majorBidi"/>
          <w:sz w:val="24"/>
          <w:szCs w:val="24"/>
        </w:rPr>
        <w:t>Le dossier doit être présenté en français et doit porter la mention « </w:t>
      </w:r>
      <w:r w:rsidR="00980C6C" w:rsidRPr="009C2441">
        <w:rPr>
          <w:rFonts w:asciiTheme="majorBidi" w:hAnsiTheme="majorBidi" w:cstheme="majorBidi"/>
          <w:b/>
          <w:bCs/>
          <w:sz w:val="24"/>
          <w:szCs w:val="24"/>
        </w:rPr>
        <w:t xml:space="preserve">Consultation portant sur </w:t>
      </w:r>
      <w:r w:rsidR="007C6AA6" w:rsidRPr="009C2441">
        <w:rPr>
          <w:rFonts w:asciiTheme="majorBidi" w:hAnsiTheme="majorBidi" w:cstheme="majorBidi"/>
          <w:b/>
          <w:bCs/>
          <w:sz w:val="24"/>
          <w:szCs w:val="24"/>
        </w:rPr>
        <w:t xml:space="preserve">Recrutement d’un consultant (Firme) </w:t>
      </w:r>
      <w:r w:rsidR="009C2441" w:rsidRPr="009C2441">
        <w:rPr>
          <w:rFonts w:asciiTheme="majorBidi" w:hAnsiTheme="majorBidi" w:cstheme="majorBidi"/>
          <w:b/>
          <w:bCs/>
          <w:sz w:val="24"/>
          <w:szCs w:val="24"/>
        </w:rPr>
        <w:t xml:space="preserve">pour le contrôle des travaux d’aménagement de </w:t>
      </w:r>
      <w:r w:rsidR="00ED3A46">
        <w:rPr>
          <w:rFonts w:asciiTheme="majorBidi" w:hAnsiTheme="majorBidi" w:cstheme="majorBidi"/>
          <w:b/>
          <w:bCs/>
          <w:sz w:val="24"/>
          <w:szCs w:val="24"/>
        </w:rPr>
        <w:t>300</w:t>
      </w:r>
      <w:r w:rsidR="009C2441" w:rsidRPr="009C2441">
        <w:rPr>
          <w:rFonts w:asciiTheme="majorBidi" w:hAnsiTheme="majorBidi" w:cstheme="majorBidi"/>
          <w:b/>
          <w:bCs/>
          <w:sz w:val="24"/>
          <w:szCs w:val="24"/>
        </w:rPr>
        <w:t xml:space="preserve"> ha de PIV au </w:t>
      </w:r>
      <w:proofErr w:type="spellStart"/>
      <w:r w:rsidR="009C2441" w:rsidRPr="009C2441">
        <w:rPr>
          <w:rFonts w:asciiTheme="majorBidi" w:hAnsiTheme="majorBidi" w:cstheme="majorBidi"/>
          <w:b/>
          <w:bCs/>
          <w:sz w:val="24"/>
          <w:szCs w:val="24"/>
        </w:rPr>
        <w:t>Gorgol</w:t>
      </w:r>
      <w:proofErr w:type="spellEnd"/>
      <w:r w:rsidR="009C2441" w:rsidRPr="009C2441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proofErr w:type="spellStart"/>
      <w:r w:rsidR="009C2441" w:rsidRPr="009C2441">
        <w:rPr>
          <w:rFonts w:asciiTheme="majorBidi" w:hAnsiTheme="majorBidi" w:cstheme="majorBidi"/>
          <w:b/>
          <w:bCs/>
          <w:sz w:val="24"/>
          <w:szCs w:val="24"/>
        </w:rPr>
        <w:t>Guidimagha</w:t>
      </w:r>
      <w:proofErr w:type="spellEnd"/>
      <w:r w:rsidR="000022C1">
        <w:rPr>
          <w:rFonts w:asciiTheme="majorBidi" w:hAnsiTheme="majorBidi" w:cstheme="majorBidi"/>
          <w:b/>
          <w:bCs/>
          <w:sz w:val="24"/>
          <w:szCs w:val="24"/>
        </w:rPr>
        <w:t> »</w:t>
      </w:r>
      <w:r w:rsidR="009C2441" w:rsidRPr="009C244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77E7B" w:rsidRPr="009C2441" w:rsidRDefault="00777E7B" w:rsidP="00995633">
      <w:pPr>
        <w:shd w:val="clear" w:color="auto" w:fill="FFFFFF"/>
        <w:spacing w:after="0" w:line="240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9C2441" w:rsidRDefault="009C2441" w:rsidP="00332061">
      <w:pPr>
        <w:shd w:val="clear" w:color="auto" w:fill="FFFFFF"/>
        <w:spacing w:after="0" w:line="240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9C2441" w:rsidRDefault="009C2441" w:rsidP="00332061">
      <w:pPr>
        <w:shd w:val="clear" w:color="auto" w:fill="FFFFFF"/>
        <w:spacing w:after="0" w:line="240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9C2441" w:rsidRDefault="009C2441" w:rsidP="00332061">
      <w:pPr>
        <w:shd w:val="clear" w:color="auto" w:fill="FFFFFF"/>
        <w:spacing w:after="0" w:line="240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504421" w:rsidRDefault="007C784F" w:rsidP="006E7B36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9C2441">
        <w:rPr>
          <w:rFonts w:asciiTheme="majorBidi" w:hAnsiTheme="majorBidi" w:cstheme="majorBidi"/>
          <w:b/>
          <w:sz w:val="24"/>
          <w:szCs w:val="24"/>
        </w:rPr>
        <w:t>L</w:t>
      </w:r>
      <w:r w:rsidR="00B50ECA" w:rsidRPr="009C2441">
        <w:rPr>
          <w:rFonts w:asciiTheme="majorBidi" w:hAnsiTheme="majorBidi" w:cstheme="majorBidi"/>
          <w:b/>
          <w:sz w:val="24"/>
          <w:szCs w:val="24"/>
        </w:rPr>
        <w:t>e</w:t>
      </w:r>
      <w:r w:rsidRPr="009C244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B5F51" w:rsidRPr="009C2441">
        <w:rPr>
          <w:rFonts w:asciiTheme="majorBidi" w:hAnsiTheme="majorBidi" w:cstheme="majorBidi"/>
          <w:b/>
          <w:sz w:val="24"/>
          <w:szCs w:val="24"/>
        </w:rPr>
        <w:t>Coordonnateur N</w:t>
      </w:r>
      <w:r w:rsidRPr="009C2441">
        <w:rPr>
          <w:rFonts w:asciiTheme="majorBidi" w:hAnsiTheme="majorBidi" w:cstheme="majorBidi"/>
          <w:b/>
          <w:sz w:val="24"/>
          <w:szCs w:val="24"/>
        </w:rPr>
        <w:t>ational du PARIIS</w:t>
      </w:r>
    </w:p>
    <w:p w:rsidR="006E7B36" w:rsidRPr="009C2441" w:rsidRDefault="006E7B36" w:rsidP="006E7B36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Ahmed Salem El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Marrakchy</w:t>
      </w:r>
      <w:proofErr w:type="spellEnd"/>
    </w:p>
    <w:p w:rsidR="007C6AA6" w:rsidRDefault="007C6AA6" w:rsidP="00332061">
      <w:pPr>
        <w:shd w:val="clear" w:color="auto" w:fill="FFFFFF"/>
        <w:spacing w:after="0" w:line="240" w:lineRule="auto"/>
        <w:jc w:val="right"/>
        <w:rPr>
          <w:b/>
        </w:rPr>
      </w:pPr>
    </w:p>
    <w:p w:rsidR="007C6AA6" w:rsidRDefault="007C6AA6" w:rsidP="00332061">
      <w:pPr>
        <w:shd w:val="clear" w:color="auto" w:fill="FFFFFF"/>
        <w:spacing w:after="0" w:line="240" w:lineRule="auto"/>
        <w:jc w:val="right"/>
        <w:rPr>
          <w:b/>
        </w:rPr>
      </w:pPr>
    </w:p>
    <w:p w:rsidR="007C6AA6" w:rsidRDefault="007C6AA6" w:rsidP="00332061">
      <w:pPr>
        <w:shd w:val="clear" w:color="auto" w:fill="FFFFFF"/>
        <w:spacing w:after="0" w:line="240" w:lineRule="auto"/>
        <w:jc w:val="right"/>
        <w:rPr>
          <w:b/>
        </w:rPr>
      </w:pPr>
    </w:p>
    <w:p w:rsidR="007C6AA6" w:rsidRDefault="007C6AA6" w:rsidP="00332061">
      <w:pPr>
        <w:shd w:val="clear" w:color="auto" w:fill="FFFFFF"/>
        <w:spacing w:after="0" w:line="240" w:lineRule="auto"/>
        <w:jc w:val="right"/>
        <w:rPr>
          <w:b/>
        </w:rPr>
      </w:pPr>
    </w:p>
    <w:p w:rsidR="007C6AA6" w:rsidRDefault="007C6AA6" w:rsidP="00332061">
      <w:pPr>
        <w:shd w:val="clear" w:color="auto" w:fill="FFFFFF"/>
        <w:spacing w:after="0" w:line="240" w:lineRule="auto"/>
        <w:jc w:val="right"/>
        <w:rPr>
          <w:b/>
        </w:rPr>
      </w:pPr>
    </w:p>
    <w:p w:rsidR="007C6AA6" w:rsidRDefault="007C6AA6" w:rsidP="00332061">
      <w:pPr>
        <w:shd w:val="clear" w:color="auto" w:fill="FFFFFF"/>
        <w:spacing w:after="0" w:line="240" w:lineRule="auto"/>
        <w:jc w:val="right"/>
        <w:rPr>
          <w:b/>
        </w:rPr>
      </w:pPr>
    </w:p>
    <w:p w:rsidR="007C6AA6" w:rsidRPr="000859DF" w:rsidRDefault="007C6AA6" w:rsidP="000859DF">
      <w:pPr>
        <w:pStyle w:val="Titre"/>
        <w:rPr>
          <w:bCs w:val="0"/>
          <w:lang w:val="br-FR"/>
        </w:rPr>
      </w:pPr>
    </w:p>
    <w:sectPr w:rsidR="007C6AA6" w:rsidRPr="000859DF" w:rsidSect="008B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905E7A"/>
    <w:lvl w:ilvl="0">
      <w:numFmt w:val="bullet"/>
      <w:lvlText w:val="*"/>
      <w:lvlJc w:val="left"/>
    </w:lvl>
  </w:abstractNum>
  <w:abstractNum w:abstractNumId="1">
    <w:nsid w:val="08EC01B1"/>
    <w:multiLevelType w:val="hybridMultilevel"/>
    <w:tmpl w:val="0186AA88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77AB78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196EFC"/>
    <w:multiLevelType w:val="hybridMultilevel"/>
    <w:tmpl w:val="8AA2E208"/>
    <w:lvl w:ilvl="0" w:tplc="FAEAA12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C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C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C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C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C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C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C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>
    <w:nsid w:val="1AE900DA"/>
    <w:multiLevelType w:val="hybridMultilevel"/>
    <w:tmpl w:val="81ECE2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CFBC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F2FA6"/>
    <w:multiLevelType w:val="hybridMultilevel"/>
    <w:tmpl w:val="DA00DFA4"/>
    <w:lvl w:ilvl="0" w:tplc="941A13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17BA2"/>
    <w:multiLevelType w:val="hybridMultilevel"/>
    <w:tmpl w:val="B66CE9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253B7"/>
    <w:multiLevelType w:val="multilevel"/>
    <w:tmpl w:val="694633F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i/>
      </w:rPr>
    </w:lvl>
  </w:abstractNum>
  <w:abstractNum w:abstractNumId="7">
    <w:nsid w:val="32436668"/>
    <w:multiLevelType w:val="hybridMultilevel"/>
    <w:tmpl w:val="E320D040"/>
    <w:lvl w:ilvl="0" w:tplc="040C000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</w:abstractNum>
  <w:abstractNum w:abstractNumId="8">
    <w:nsid w:val="33922FE3"/>
    <w:multiLevelType w:val="hybridMultilevel"/>
    <w:tmpl w:val="545A7158"/>
    <w:lvl w:ilvl="0" w:tplc="BD226F4C">
      <w:start w:val="1"/>
      <w:numFmt w:val="decimal"/>
      <w:lvlText w:val="%1."/>
      <w:lvlJc w:val="left"/>
      <w:pPr>
        <w:ind w:left="720" w:hanging="360"/>
      </w:pPr>
      <w:rPr>
        <w:rFonts w:hint="default"/>
        <w:color w:val="0F1F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B7976"/>
    <w:multiLevelType w:val="hybridMultilevel"/>
    <w:tmpl w:val="1B4C80FA"/>
    <w:lvl w:ilvl="0" w:tplc="3E66396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37F9A"/>
    <w:multiLevelType w:val="hybridMultilevel"/>
    <w:tmpl w:val="79B227E8"/>
    <w:lvl w:ilvl="0" w:tplc="5E3EF8F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000000"/>
        <w:sz w:val="23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10953"/>
    <w:multiLevelType w:val="hybridMultilevel"/>
    <w:tmpl w:val="ADB8FF1A"/>
    <w:lvl w:ilvl="0" w:tplc="0BD8AEDE">
      <w:start w:val="4"/>
      <w:numFmt w:val="decimal"/>
      <w:lvlText w:val="%1."/>
      <w:lvlJc w:val="left"/>
      <w:pPr>
        <w:ind w:left="1062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782" w:hanging="360"/>
      </w:pPr>
    </w:lvl>
    <w:lvl w:ilvl="2" w:tplc="040C001B" w:tentative="1">
      <w:start w:val="1"/>
      <w:numFmt w:val="lowerRoman"/>
      <w:lvlText w:val="%3."/>
      <w:lvlJc w:val="right"/>
      <w:pPr>
        <w:ind w:left="2502" w:hanging="180"/>
      </w:pPr>
    </w:lvl>
    <w:lvl w:ilvl="3" w:tplc="040C000F" w:tentative="1">
      <w:start w:val="1"/>
      <w:numFmt w:val="decimal"/>
      <w:lvlText w:val="%4."/>
      <w:lvlJc w:val="left"/>
      <w:pPr>
        <w:ind w:left="3222" w:hanging="360"/>
      </w:pPr>
    </w:lvl>
    <w:lvl w:ilvl="4" w:tplc="040C0019" w:tentative="1">
      <w:start w:val="1"/>
      <w:numFmt w:val="lowerLetter"/>
      <w:lvlText w:val="%5."/>
      <w:lvlJc w:val="left"/>
      <w:pPr>
        <w:ind w:left="3942" w:hanging="360"/>
      </w:pPr>
    </w:lvl>
    <w:lvl w:ilvl="5" w:tplc="040C001B" w:tentative="1">
      <w:start w:val="1"/>
      <w:numFmt w:val="lowerRoman"/>
      <w:lvlText w:val="%6."/>
      <w:lvlJc w:val="right"/>
      <w:pPr>
        <w:ind w:left="4662" w:hanging="180"/>
      </w:pPr>
    </w:lvl>
    <w:lvl w:ilvl="6" w:tplc="040C000F" w:tentative="1">
      <w:start w:val="1"/>
      <w:numFmt w:val="decimal"/>
      <w:lvlText w:val="%7."/>
      <w:lvlJc w:val="left"/>
      <w:pPr>
        <w:ind w:left="5382" w:hanging="360"/>
      </w:pPr>
    </w:lvl>
    <w:lvl w:ilvl="7" w:tplc="040C0019" w:tentative="1">
      <w:start w:val="1"/>
      <w:numFmt w:val="lowerLetter"/>
      <w:lvlText w:val="%8."/>
      <w:lvlJc w:val="left"/>
      <w:pPr>
        <w:ind w:left="6102" w:hanging="360"/>
      </w:pPr>
    </w:lvl>
    <w:lvl w:ilvl="8" w:tplc="040C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3FA60BCD"/>
    <w:multiLevelType w:val="hybridMultilevel"/>
    <w:tmpl w:val="DB2A69CC"/>
    <w:lvl w:ilvl="0" w:tplc="3E50004E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649D7"/>
    <w:multiLevelType w:val="hybridMultilevel"/>
    <w:tmpl w:val="E8162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C528C"/>
    <w:multiLevelType w:val="hybridMultilevel"/>
    <w:tmpl w:val="DE18DA7A"/>
    <w:lvl w:ilvl="0" w:tplc="1A581AD0">
      <w:start w:val="2"/>
      <w:numFmt w:val="bullet"/>
      <w:lvlText w:val="-"/>
      <w:lvlJc w:val="left"/>
      <w:pPr>
        <w:ind w:left="1005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530C484F"/>
    <w:multiLevelType w:val="hybridMultilevel"/>
    <w:tmpl w:val="90349044"/>
    <w:lvl w:ilvl="0" w:tplc="040C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5A2465C4"/>
    <w:multiLevelType w:val="hybridMultilevel"/>
    <w:tmpl w:val="A6AA4AC6"/>
    <w:lvl w:ilvl="0" w:tplc="040C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>
    <w:nsid w:val="652333C0"/>
    <w:multiLevelType w:val="hybridMultilevel"/>
    <w:tmpl w:val="2F484864"/>
    <w:lvl w:ilvl="0" w:tplc="FEFA4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68B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A8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82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41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46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42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C8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62A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C2605"/>
    <w:multiLevelType w:val="hybridMultilevel"/>
    <w:tmpl w:val="5BDED822"/>
    <w:lvl w:ilvl="0" w:tplc="608EC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120877"/>
    <w:multiLevelType w:val="hybridMultilevel"/>
    <w:tmpl w:val="8AA2E208"/>
    <w:lvl w:ilvl="0" w:tplc="FAEAA12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C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C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C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C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C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C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C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0">
    <w:nsid w:val="7D84156A"/>
    <w:multiLevelType w:val="multilevel"/>
    <w:tmpl w:val="162E561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3"/>
  </w:num>
  <w:num w:numId="5">
    <w:abstractNumId w:val="19"/>
  </w:num>
  <w:num w:numId="6">
    <w:abstractNumId w:val="1"/>
  </w:num>
  <w:num w:numId="7">
    <w:abstractNumId w:val="14"/>
  </w:num>
  <w:num w:numId="8">
    <w:abstractNumId w:val="10"/>
  </w:num>
  <w:num w:numId="9">
    <w:abstractNumId w:val="17"/>
  </w:num>
  <w:num w:numId="10">
    <w:abstractNumId w:val="18"/>
  </w:num>
  <w:num w:numId="11">
    <w:abstractNumId w:val="15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6"/>
  </w:num>
  <w:num w:numId="19">
    <w:abstractNumId w:val="4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E73"/>
    <w:rsid w:val="000022C1"/>
    <w:rsid w:val="00004337"/>
    <w:rsid w:val="00053FD4"/>
    <w:rsid w:val="0006314E"/>
    <w:rsid w:val="00083234"/>
    <w:rsid w:val="000859DF"/>
    <w:rsid w:val="00090633"/>
    <w:rsid w:val="000B66B6"/>
    <w:rsid w:val="000C2335"/>
    <w:rsid w:val="000C4208"/>
    <w:rsid w:val="000D5E9C"/>
    <w:rsid w:val="00100302"/>
    <w:rsid w:val="001216DA"/>
    <w:rsid w:val="00124474"/>
    <w:rsid w:val="001669C1"/>
    <w:rsid w:val="001A7B77"/>
    <w:rsid w:val="001B1A88"/>
    <w:rsid w:val="001C5AE2"/>
    <w:rsid w:val="001D2B8F"/>
    <w:rsid w:val="001E1027"/>
    <w:rsid w:val="001E762F"/>
    <w:rsid w:val="001F7273"/>
    <w:rsid w:val="00217213"/>
    <w:rsid w:val="00222B10"/>
    <w:rsid w:val="00237714"/>
    <w:rsid w:val="00237DEE"/>
    <w:rsid w:val="00244245"/>
    <w:rsid w:val="00261394"/>
    <w:rsid w:val="0026228A"/>
    <w:rsid w:val="00272EF0"/>
    <w:rsid w:val="00291427"/>
    <w:rsid w:val="00294E73"/>
    <w:rsid w:val="002C0C6A"/>
    <w:rsid w:val="002C561C"/>
    <w:rsid w:val="002E1DB8"/>
    <w:rsid w:val="003118B4"/>
    <w:rsid w:val="00322CE0"/>
    <w:rsid w:val="00332061"/>
    <w:rsid w:val="00361BB9"/>
    <w:rsid w:val="0036435F"/>
    <w:rsid w:val="00381DB4"/>
    <w:rsid w:val="003A2F73"/>
    <w:rsid w:val="003A5B26"/>
    <w:rsid w:val="003C6200"/>
    <w:rsid w:val="003C6F30"/>
    <w:rsid w:val="003D239F"/>
    <w:rsid w:val="003D738B"/>
    <w:rsid w:val="003E1399"/>
    <w:rsid w:val="003E2C75"/>
    <w:rsid w:val="003F21E7"/>
    <w:rsid w:val="003F573B"/>
    <w:rsid w:val="004356D7"/>
    <w:rsid w:val="0043634A"/>
    <w:rsid w:val="004518BC"/>
    <w:rsid w:val="00460AB6"/>
    <w:rsid w:val="00461A5A"/>
    <w:rsid w:val="00483729"/>
    <w:rsid w:val="004944B4"/>
    <w:rsid w:val="004B2923"/>
    <w:rsid w:val="004C7C45"/>
    <w:rsid w:val="00504421"/>
    <w:rsid w:val="0051152C"/>
    <w:rsid w:val="0051326C"/>
    <w:rsid w:val="00521FA9"/>
    <w:rsid w:val="00553AAA"/>
    <w:rsid w:val="005543A1"/>
    <w:rsid w:val="005638DD"/>
    <w:rsid w:val="00564F92"/>
    <w:rsid w:val="00571A32"/>
    <w:rsid w:val="005C5750"/>
    <w:rsid w:val="005E35B0"/>
    <w:rsid w:val="00602EBA"/>
    <w:rsid w:val="006133FD"/>
    <w:rsid w:val="00615910"/>
    <w:rsid w:val="006778E1"/>
    <w:rsid w:val="00690CAD"/>
    <w:rsid w:val="006C47E7"/>
    <w:rsid w:val="006D72A2"/>
    <w:rsid w:val="006E7B36"/>
    <w:rsid w:val="006F67BC"/>
    <w:rsid w:val="00701769"/>
    <w:rsid w:val="007136BE"/>
    <w:rsid w:val="007266FE"/>
    <w:rsid w:val="007508A6"/>
    <w:rsid w:val="00751D70"/>
    <w:rsid w:val="00756375"/>
    <w:rsid w:val="007675DD"/>
    <w:rsid w:val="00771D4D"/>
    <w:rsid w:val="00777E7B"/>
    <w:rsid w:val="0079785C"/>
    <w:rsid w:val="007B201E"/>
    <w:rsid w:val="007B79D4"/>
    <w:rsid w:val="007B7B1B"/>
    <w:rsid w:val="007C6AA6"/>
    <w:rsid w:val="007C784F"/>
    <w:rsid w:val="007E5E28"/>
    <w:rsid w:val="00831198"/>
    <w:rsid w:val="008378B9"/>
    <w:rsid w:val="00853E33"/>
    <w:rsid w:val="00856584"/>
    <w:rsid w:val="00882C96"/>
    <w:rsid w:val="008A30EC"/>
    <w:rsid w:val="008A411B"/>
    <w:rsid w:val="008B1EE6"/>
    <w:rsid w:val="008B2E06"/>
    <w:rsid w:val="008B3F98"/>
    <w:rsid w:val="008C0D9C"/>
    <w:rsid w:val="008C34B2"/>
    <w:rsid w:val="008C71E8"/>
    <w:rsid w:val="008D001E"/>
    <w:rsid w:val="008E6484"/>
    <w:rsid w:val="008E7CEB"/>
    <w:rsid w:val="0090547F"/>
    <w:rsid w:val="00914843"/>
    <w:rsid w:val="00935611"/>
    <w:rsid w:val="00980C6C"/>
    <w:rsid w:val="00981F4F"/>
    <w:rsid w:val="0099244A"/>
    <w:rsid w:val="0099381C"/>
    <w:rsid w:val="00995633"/>
    <w:rsid w:val="009A12F9"/>
    <w:rsid w:val="009B22A4"/>
    <w:rsid w:val="009C2441"/>
    <w:rsid w:val="009D5890"/>
    <w:rsid w:val="009D6FCF"/>
    <w:rsid w:val="009D77C1"/>
    <w:rsid w:val="009E667C"/>
    <w:rsid w:val="009F2F23"/>
    <w:rsid w:val="00A52783"/>
    <w:rsid w:val="00A53117"/>
    <w:rsid w:val="00A54CB0"/>
    <w:rsid w:val="00A671F4"/>
    <w:rsid w:val="00A800A1"/>
    <w:rsid w:val="00AD3552"/>
    <w:rsid w:val="00AD5674"/>
    <w:rsid w:val="00AF3049"/>
    <w:rsid w:val="00B026A2"/>
    <w:rsid w:val="00B1653F"/>
    <w:rsid w:val="00B245F2"/>
    <w:rsid w:val="00B43004"/>
    <w:rsid w:val="00B50ECA"/>
    <w:rsid w:val="00BA5FDA"/>
    <w:rsid w:val="00BE52DB"/>
    <w:rsid w:val="00C42683"/>
    <w:rsid w:val="00C55741"/>
    <w:rsid w:val="00C64779"/>
    <w:rsid w:val="00C727A3"/>
    <w:rsid w:val="00C77E00"/>
    <w:rsid w:val="00C975C9"/>
    <w:rsid w:val="00CB6B54"/>
    <w:rsid w:val="00CE43D5"/>
    <w:rsid w:val="00CF567F"/>
    <w:rsid w:val="00CF5C53"/>
    <w:rsid w:val="00D13FE7"/>
    <w:rsid w:val="00D17282"/>
    <w:rsid w:val="00D27480"/>
    <w:rsid w:val="00D536C0"/>
    <w:rsid w:val="00D72A24"/>
    <w:rsid w:val="00DA129F"/>
    <w:rsid w:val="00DA15AA"/>
    <w:rsid w:val="00DA1815"/>
    <w:rsid w:val="00DA3830"/>
    <w:rsid w:val="00DB5F51"/>
    <w:rsid w:val="00DC2855"/>
    <w:rsid w:val="00DF1D6E"/>
    <w:rsid w:val="00DF4329"/>
    <w:rsid w:val="00DF4738"/>
    <w:rsid w:val="00DF7376"/>
    <w:rsid w:val="00E47C39"/>
    <w:rsid w:val="00E719AF"/>
    <w:rsid w:val="00E850BD"/>
    <w:rsid w:val="00EB0F52"/>
    <w:rsid w:val="00EB49EC"/>
    <w:rsid w:val="00EC6CD8"/>
    <w:rsid w:val="00ED3A46"/>
    <w:rsid w:val="00EE360C"/>
    <w:rsid w:val="00EF55AB"/>
    <w:rsid w:val="00F00C5F"/>
    <w:rsid w:val="00F26CA9"/>
    <w:rsid w:val="00F450F7"/>
    <w:rsid w:val="00F55BC5"/>
    <w:rsid w:val="00F71031"/>
    <w:rsid w:val="00FC3128"/>
    <w:rsid w:val="00FE1F67"/>
    <w:rsid w:val="00FF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41"/>
    <w:pPr>
      <w:spacing w:after="200" w:line="276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next w:val="BankNormal"/>
    <w:link w:val="Titre1Car"/>
    <w:qFormat/>
    <w:rsid w:val="007C6AA6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0"/>
    </w:pPr>
    <w:rPr>
      <w:rFonts w:ascii="Times New Roman Bold" w:eastAsia="Times New Roman" w:hAnsi="Times New Roman Bold" w:cs="Times New Roman"/>
      <w:b/>
      <w:bCs/>
      <w:sz w:val="32"/>
      <w:szCs w:val="32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Bullets,References,Liste 1,Numbered List Paragraph,ReferencesCxSpLast,List Paragraph (numbered (a)),Paragraphe de liste11,WB List Paragraph,Paragraphe  revu,Bullet L1,Desmond 2,Medium Grid 1 - Accent 21,List Paragraph nowy,texte,lp1"/>
    <w:basedOn w:val="Normal"/>
    <w:link w:val="ParagraphedelisteCar"/>
    <w:uiPriority w:val="34"/>
    <w:qFormat/>
    <w:rsid w:val="0006314E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00433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fr-BE" w:eastAsia="fr-FR"/>
    </w:rPr>
  </w:style>
  <w:style w:type="character" w:customStyle="1" w:styleId="Corpsdetexte2Car">
    <w:name w:val="Corps de texte 2 Car"/>
    <w:basedOn w:val="Policepardfaut"/>
    <w:link w:val="Corpsdetexte2"/>
    <w:rsid w:val="00004337"/>
    <w:rPr>
      <w:rFonts w:ascii="Times New Roman" w:eastAsia="Times New Roman" w:hAnsi="Times New Roman" w:cs="Times New Roman"/>
      <w:b/>
      <w:bCs/>
      <w:sz w:val="24"/>
      <w:szCs w:val="24"/>
      <w:lang w:val="fr-B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67F"/>
    <w:rPr>
      <w:rFonts w:ascii="Segoe UI" w:eastAsia="Calibr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3A2F7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2F73"/>
    <w:rPr>
      <w:rFonts w:ascii="Calibri" w:eastAsia="Calibri" w:hAnsi="Calibri" w:cs="Arial"/>
    </w:rPr>
  </w:style>
  <w:style w:type="paragraph" w:customStyle="1" w:styleId="BankNormal">
    <w:name w:val="BankNormal"/>
    <w:basedOn w:val="Normal"/>
    <w:rsid w:val="003A2F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3A2F7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3A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character" w:customStyle="1" w:styleId="apple-style-span">
    <w:name w:val="apple-style-span"/>
    <w:basedOn w:val="Policepardfaut"/>
    <w:rsid w:val="003A2F73"/>
  </w:style>
  <w:style w:type="paragraph" w:styleId="TM9">
    <w:name w:val="toc 9"/>
    <w:basedOn w:val="Normal"/>
    <w:next w:val="Normal"/>
    <w:semiHidden/>
    <w:rsid w:val="00521FA9"/>
    <w:pPr>
      <w:tabs>
        <w:tab w:val="left" w:leader="dot" w:pos="8640"/>
        <w:tab w:val="right" w:pos="9000"/>
      </w:tabs>
      <w:suppressAutoHyphens/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7266F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266FE"/>
    <w:rPr>
      <w:rFonts w:ascii="Arial" w:eastAsia="Times New Roman" w:hAnsi="Arial" w:cs="Times New Roman"/>
      <w:b/>
      <w:bCs/>
      <w:sz w:val="28"/>
      <w:szCs w:val="24"/>
      <w:lang w:eastAsia="fr-FR"/>
    </w:rPr>
  </w:style>
  <w:style w:type="character" w:customStyle="1" w:styleId="ParagraphedelisteCar">
    <w:name w:val="Paragraphe de liste Car"/>
    <w:aliases w:val="Bullets Car,References Car,Liste 1 Car,Numbered List Paragraph Car,ReferencesCxSpLast Car,List Paragraph (numbered (a)) Car,Paragraphe de liste11 Car,WB List Paragraph Car,Paragraphe  revu Car,Bullet L1 Car,Desmond 2 Car,lp1 Car"/>
    <w:link w:val="Paragraphedeliste"/>
    <w:uiPriority w:val="34"/>
    <w:locked/>
    <w:rsid w:val="007266FE"/>
    <w:rPr>
      <w:rFonts w:ascii="Calibri" w:eastAsia="Calibri" w:hAnsi="Calibri" w:cs="Arial"/>
    </w:rPr>
  </w:style>
  <w:style w:type="character" w:customStyle="1" w:styleId="Titre1Car">
    <w:name w:val="Titre 1 Car"/>
    <w:basedOn w:val="Policepardfaut"/>
    <w:link w:val="Titre1"/>
    <w:rsid w:val="007C6AA6"/>
    <w:rPr>
      <w:rFonts w:ascii="Times New Roman Bold" w:eastAsia="Times New Roman" w:hAnsi="Times New Roman Bold" w:cs="Times New Roman"/>
      <w:b/>
      <w:bCs/>
      <w:sz w:val="32"/>
      <w:szCs w:val="32"/>
      <w:lang w:val="en-US" w:eastAsia="fr-FR"/>
    </w:rPr>
  </w:style>
  <w:style w:type="paragraph" w:styleId="Commentaire">
    <w:name w:val="annotation text"/>
    <w:basedOn w:val="Normal"/>
    <w:link w:val="CommentaireCar"/>
    <w:semiHidden/>
    <w:rsid w:val="007C6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CommentaireCar">
    <w:name w:val="Commentaire Car"/>
    <w:basedOn w:val="Policepardfaut"/>
    <w:link w:val="Commentaire"/>
    <w:semiHidden/>
    <w:rsid w:val="007C6AA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Corpsdetexte21">
    <w:name w:val="Corps de texte 21"/>
    <w:basedOn w:val="Normal"/>
    <w:rsid w:val="007C6AA6"/>
    <w:pPr>
      <w:tabs>
        <w:tab w:val="left" w:pos="720"/>
        <w:tab w:val="right" w:leader="dot" w:pos="86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 w:eastAsia="fr-FR"/>
    </w:rPr>
  </w:style>
  <w:style w:type="character" w:styleId="Marquedecommentaire">
    <w:name w:val="annotation reference"/>
    <w:uiPriority w:val="99"/>
    <w:semiHidden/>
    <w:unhideWhenUsed/>
    <w:rsid w:val="007C6AA6"/>
    <w:rPr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7C6AA6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C9B6-8112-44F8-B254-CA37519F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Meoms</dc:creator>
  <cp:lastModifiedBy>Utilisateur Windows</cp:lastModifiedBy>
  <cp:revision>10</cp:revision>
  <cp:lastPrinted>2019-04-15T13:25:00Z</cp:lastPrinted>
  <dcterms:created xsi:type="dcterms:W3CDTF">2019-07-25T16:24:00Z</dcterms:created>
  <dcterms:modified xsi:type="dcterms:W3CDTF">2021-12-29T13:01:00Z</dcterms:modified>
</cp:coreProperties>
</file>